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38670b281f48ff" /></Relationships>
</file>

<file path=word/document.xml><?xml version="1.0" encoding="utf-8"?>
<w:document xmlns:w="http://schemas.openxmlformats.org/wordprocessingml/2006/main">
  <w:body>
    <w:p>
      <w:r>
        <w:t>S-0210.1</w:t>
      </w:r>
    </w:p>
    <w:p>
      <w:pPr>
        <w:jc w:val="center"/>
      </w:pPr>
      <w:r>
        <w:t>_______________________________________________</w:t>
      </w:r>
    </w:p>
    <w:p/>
    <w:p>
      <w:pPr>
        <w:jc w:val="center"/>
      </w:pPr>
      <w:r>
        <w:rPr>
          <w:b/>
        </w:rPr>
        <w:t>SENATE BILL 5045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and Hewitt</w:t>
      </w:r>
    </w:p>
    <w:p/>
    <w:p>
      <w:r>
        <w:rPr>
          <w:t xml:space="preserve">Prefiled 01/06/15.</w:t>
        </w:rPr>
      </w:r>
      <w:r>
        <w:rPr>
          <w:t xml:space="preserve">Read first time 01/12/15.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deauthorization of union security provisions by public employees; and amending RCW 41.56.122, 41.76.045, 49.39.090, 47.64.160, 41.80.100, 41.59.100, and 49.66.010.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u w:val="single"/>
        </w:rPr>
        <w:t xml:space="preserve">(1)</w:t>
      </w:r>
      <w:r>
        <w:rPr/>
        <w:t xml:space="preserve"> A collective bargaining agreement may:</w:t>
      </w:r>
    </w:p>
    <w:p>
      <w:pPr>
        <w:spacing w:before="0" w:after="0" w:line="408" w:lineRule="exact"/>
        <w:ind w:left="0" w:right="0" w:firstLine="576"/>
        <w:jc w:val="left"/>
      </w:pPr>
      <w:r>
        <w:t>((</w:t>
      </w:r>
      <w:r>
        <w:rPr>
          <w:strike/>
        </w:rPr>
        <w:t xml:space="preserve">(1)</w:t>
      </w:r>
      <w:r>
        <w:t>))</w:t>
      </w:r>
      <w:r>
        <w:rPr>
          <w:u w:val="single"/>
        </w:rPr>
        <w:t xml:space="preserve">(a)</w:t>
      </w:r>
      <w:r>
        <w:rPr/>
        <w:t xml:space="preserve"> Contain union security provisions: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0" w:after="0" w:line="408" w:lineRule="exact"/>
        <w:ind w:left="0" w:right="0" w:firstLine="576"/>
        <w:jc w:val="left"/>
      </w:pPr>
      <w:r>
        <w:t>((</w:t>
      </w:r>
      <w:r>
        <w:rPr>
          <w:strike/>
        </w:rPr>
        <w:t xml:space="preserve">(2)</w:t>
      </w:r>
      <w:r>
        <w:t>))</w:t>
      </w:r>
      <w:r>
        <w:rPr>
          <w:u w:val="single"/>
        </w:rPr>
        <w:t xml:space="preserve">(b)</w:t>
      </w:r>
      <w:r>
        <w:rPr/>
        <w:t xml:space="preserve"> Provide for binding arbitration of a labor dispute arising from the application or the interpretation of the matters contained in a collective bargaining agreement.</w:t>
      </w:r>
    </w:p>
    <w:p>
      <w:pPr>
        <w:spacing w:before="0" w:after="0" w:line="408" w:lineRule="exact"/>
        <w:ind w:left="0" w:right="0" w:firstLine="576"/>
        <w:jc w:val="left"/>
      </w:pPr>
      <w:r>
        <w:rPr>
          <w:u w:val="single"/>
        </w:rPr>
        <w:t xml:space="preserve">(2) Public employees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Public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(4) Once the commission has determined a petition for deauthorization to be sufficient, notices of election must be furnished by the commission to the public employer for posting. The public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Public employees may petition to reinstate a previously deauthorized union security provision using the procedures established in subsections (2), (3), (4), and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p>
    <w:p>
      <w:pPr>
        <w:spacing w:before="0" w:after="0" w:line="408" w:lineRule="exact"/>
        <w:ind w:left="0" w:right="0" w:firstLine="576"/>
        <w:jc w:val="left"/>
      </w:pPr>
      <w:r>
        <w:rPr>
          <w:u w:val="single"/>
        </w:rPr>
        <w:t xml:space="preserve">(4) Faculty members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Faculty members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(5)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(6)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(7)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(8) Faculty members may petition to reinstate a previously deauthorized union security provision using the procedures established in subsections (4), (5), (6), and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u w:val="single"/>
        </w:rPr>
        <w:t xml:space="preserve">(1)</w:t>
      </w:r>
      <w:r>
        <w:rPr/>
        <w:t xml:space="preserve"> A collective bargaining agreement may:</w:t>
      </w:r>
    </w:p>
    <w:p>
      <w:pPr>
        <w:spacing w:before="0" w:after="0" w:line="408" w:lineRule="exact"/>
        <w:ind w:left="0" w:right="0" w:firstLine="576"/>
        <w:jc w:val="left"/>
      </w:pPr>
      <w:r>
        <w:t>((</w:t>
      </w:r>
      <w:r>
        <w:rPr>
          <w:strike/>
        </w:rPr>
        <w:t xml:space="preserve">(1)</w:t>
      </w:r>
      <w:r>
        <w:t>))</w:t>
      </w:r>
      <w:r>
        <w:rPr>
          <w:u w:val="single"/>
        </w:rPr>
        <w:t xml:space="preserve">(a)</w:t>
      </w:r>
      <w:r>
        <w:rPr/>
        <w:t xml:space="preserve"> Contain union security provisions. However, nothing in this section authorizes a closed shop provision. Agreements involving union security provisions must safeguard the right of nonassociation of employees based on bona fide religious tenets or teachings of a church or religious body of which the symphony musician is a member. The symphony musician must pay an amount of money equivalent to regular union dues and initiation fee to a nonreligious charity or to another charitable organization mutually agreed upon by the symphony musician affected and the bargaining representative to which the symphony musician would otherwise pay the dues and initiation fee. The symphony musician must furnish written proof that the payment has been made. If the symphony musician and the bargaining representative do not reach agreement on this matter, the commission must designate the charitable organization;</w:t>
      </w:r>
    </w:p>
    <w:p>
      <w:pPr>
        <w:spacing w:before="0" w:after="0" w:line="408" w:lineRule="exact"/>
        <w:ind w:left="0" w:right="0" w:firstLine="576"/>
        <w:jc w:val="left"/>
      </w:pPr>
      <w:r>
        <w:t>((</w:t>
      </w:r>
      <w:r>
        <w:rPr>
          <w:strike/>
        </w:rPr>
        <w:t xml:space="preserve">(2)</w:t>
      </w:r>
      <w:r>
        <w:t>))</w:t>
      </w:r>
      <w:r>
        <w:rPr>
          <w:u w:val="single"/>
        </w:rPr>
        <w:t xml:space="preserve">(b)</w:t>
      </w:r>
      <w:r>
        <w:rPr/>
        <w:t xml:space="preserve"> Provide for binding arbitration of a labor dispute arising from the application or the interpretation of the matters contained in a collective bargaining agreement.</w:t>
      </w:r>
    </w:p>
    <w:p>
      <w:pPr>
        <w:spacing w:before="0" w:after="0" w:line="408" w:lineRule="exact"/>
        <w:ind w:left="0" w:right="0" w:firstLine="576"/>
        <w:jc w:val="left"/>
      </w:pPr>
      <w:r>
        <w:rPr>
          <w:u w:val="single"/>
        </w:rPr>
        <w:t xml:space="preserve">(2) Symphony musicians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Symphony musicians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(4)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Symphony musicians may petition to reinstate a previously deauthorized union security provision using the procedures established in subsections (2), (3), (4,) and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p>
    <w:p>
      <w:pPr>
        <w:spacing w:before="0" w:after="0" w:line="408" w:lineRule="exact"/>
        <w:ind w:left="0" w:right="0" w:firstLine="576"/>
        <w:jc w:val="left"/>
      </w:pPr>
      <w:r>
        <w:rPr>
          <w:u w:val="single"/>
        </w:rPr>
        <w:t xml:space="preserve">(2) Ferry employees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Ferry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(4)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Ferry employees may petition to reinstate a previously deauthorized union security provision using the procedures established in subsections (2), (3), (4), and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0" w:after="0" w:line="408" w:lineRule="exact"/>
        <w:ind w:left="0" w:right="0" w:firstLine="576"/>
        <w:jc w:val="left"/>
      </w:pPr>
      <w:r>
        <w:rPr>
          <w:u w:val="single"/>
        </w:rPr>
        <w:t xml:space="preserve">(5) Employees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(6)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(7)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(8)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(9) Employees may petition to reinstate a previously deauthorized union security provision using the procedures established in subsections (5), (6), (7), and (8)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p>
    <w:p>
      <w:pPr>
        <w:spacing w:before="0" w:after="0" w:line="408" w:lineRule="exact"/>
        <w:ind w:left="0" w:right="0" w:firstLine="576"/>
        <w:jc w:val="left"/>
      </w:pPr>
      <w:r>
        <w:rPr>
          <w:u w:val="single"/>
        </w:rPr>
        <w:t xml:space="preserve">(2) Educational employees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Educational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(4)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Educational employees may petition to reinstate a previously deauthorized union security provision using the procedures established in subsections (2), (3), (4), and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u w:val="single"/>
        </w:rPr>
        <w:t xml:space="preserve">(1)(a)</w:t>
      </w:r>
      <w:r>
        <w:rPr/>
        <w:t xml:space="preserve"> 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rPr>
          <w:u w:val="single"/>
        </w:rPr>
        <w:t xml:space="preserve">(b)</w:t>
      </w:r>
      <w:r>
        <w:rPr/>
        <w:t xml:space="preserve"> It is further determined that any agreements involving union security including an all-union agreement or agency agreement must safeguard the rights of nonassociation of employees, based on bona fide religious tenets or teachings of a church or religious body of which such employee is a member. Such employee must pay an amount of money equivalent to regular union dues and initiation fees and assessments, if any, to a nonreligious charity or to another charitable organization mutually agreed upon by the employee affected and the representative of the labor organization to which such employee would otherwise pay dues. The employee shall furnish written proof that this has been done. If the employee and representative of the labor organization do not reach agreement on the matter, the department shall designate such organization.</w:t>
      </w:r>
    </w:p>
    <w:p>
      <w:pPr>
        <w:spacing w:before="0" w:after="0" w:line="408" w:lineRule="exact"/>
        <w:ind w:left="0" w:right="0" w:firstLine="576"/>
        <w:jc w:val="left"/>
      </w:pPr>
      <w:r>
        <w:rPr>
          <w:u w:val="single"/>
        </w:rPr>
        <w:t xml:space="preserve">(2) Employees may petition the director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director must direct a secret ballot election to be held among the members of the bargaining unit. If a majority of the votes cast in the election do not favor the union security provision, the director must certify deauthorization. If a majority of the votes cast favor continuation of the union security provision, the director must certify continuation of the provision. A union security provision ceases to be in effect within thirty days of the director's certification of deauthorization.</w:t>
      </w:r>
    </w:p>
    <w:p>
      <w:pPr>
        <w:spacing w:before="0" w:after="0" w:line="408" w:lineRule="exact"/>
        <w:ind w:left="0" w:right="0" w:firstLine="576"/>
        <w:jc w:val="left"/>
      </w:pPr>
      <w:r>
        <w:rPr>
          <w:u w:val="single"/>
        </w:rPr>
        <w:t xml:space="preserve">(4) Once the director has determined a petition for deauthorization to be sufficient, notices of election must be furnished by the director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Employees may petition to reinstate a previously deauthorized union security provision using the procedures established in subsections (2), (3), (4), and (5) of this section.</w:t>
      </w:r>
    </w:p>
    <w:p/>
    <w:p>
      <w:pPr>
        <w:jc w:val="center"/>
      </w:pPr>
      <w:r>
        <w:rPr>
          <w:b/>
        </w:rPr>
        <w:t>--- END ---</w:t>
      </w:r>
    </w:p>
    <w:sectPr>
      <w:pgNumType w:start="1"/>
      <w:footerReference xmlns:r="http://schemas.openxmlformats.org/officeDocument/2006/relationships" r:id="Rc15382076c8a42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f98135c9740a7" /><Relationship Type="http://schemas.openxmlformats.org/officeDocument/2006/relationships/footer" Target="/word/footer.xml" Id="Rc15382076c8a42c0" /></Relationships>
</file>