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f5f2cb76674f7f" /></Relationships>
</file>

<file path=word/document.xml><?xml version="1.0" encoding="utf-8"?>
<w:document xmlns:w="http://schemas.openxmlformats.org/wordprocessingml/2006/main">
  <w:body>
    <w:p>
      <w:r>
        <w:t>S-0342.1</w:t>
      </w:r>
    </w:p>
    <w:p>
      <w:pPr>
        <w:jc w:val="center"/>
      </w:pPr>
      <w:r>
        <w:t>_______________________________________________</w:t>
      </w:r>
    </w:p>
    <w:p/>
    <w:p>
      <w:pPr>
        <w:jc w:val="center"/>
      </w:pPr>
      <w:r>
        <w:rPr>
          <w:b/>
        </w:rPr>
        <w:t>SENATE BILL 5043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Benton, and Warnick</w:t>
      </w:r>
    </w:p>
    <w:p/>
    <w:p>
      <w:r>
        <w:rPr>
          <w:t xml:space="preserve">Prefiled 01/05/15.</w:t>
        </w:rPr>
      </w:r>
      <w:r>
        <w:rPr>
          <w:t xml:space="preserve">Read first time 01/12/15.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greater small business assistance by modifying the filing threshold for excise tax purposes; amending RCW 82.32.045;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 82.04 or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rPr/>
        <w:t xml:space="preserve">)) </w:t>
      </w:r>
      <w:r>
        <w:rPr>
          <w:u w:val="single"/>
        </w:rPr>
        <w:t xml:space="preserve">fifty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rPr>
          <w:strike/>
        </w:rPr>
        <w:t xml:space="preserve">twenty-four</w:t>
      </w:r>
      <w:r>
        <w:rPr/>
        <w:t xml:space="preserve">)) </w:t>
      </w:r>
      <w:r>
        <w:rPr>
          <w:u w:val="single"/>
        </w:rPr>
        <w:t xml:space="preserve">fifty</w:t>
      </w:r>
      <w:r>
        <w:rPr/>
        <w:t xml:space="preserve">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aa77d3ff61a4f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f4273e1d5400a" /><Relationship Type="http://schemas.openxmlformats.org/officeDocument/2006/relationships/footer" Target="/word/footer.xml" Id="R0aa77d3ff61a4f5f" /></Relationships>
</file>