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3161776754969" /></Relationships>
</file>

<file path=word/document.xml><?xml version="1.0" encoding="utf-8"?>
<w:document xmlns:w="http://schemas.openxmlformats.org/wordprocessingml/2006/main">
  <w:body>
    <w:p>
      <w:r>
        <w:t>S-1313.1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5034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Senate Health Care (originally sponsored by Senators Habib and King)</w:t>
      </w:r>
    </w:p>
    <w:p/>
    <w:p>
      <w:r>
        <w:rPr>
          <w:t xml:space="preserve">READ FIRST TIME 02/10/15.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referral of medical cases to occupational therapists; and amending RCW 18.59.100.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18</w:t>
      </w:r>
      <w:r>
        <w:rPr/>
        <w:t xml:space="preserve">.</w:t>
      </w:r>
      <w:r>
        <w:t xml:space="preserve">59</w:t>
      </w:r>
      <w:r>
        <w:rPr/>
        <w:t xml:space="preserve">.</w:t>
      </w:r>
      <w:r>
        <w:t xml:space="preserve">100</w:t>
      </w:r>
      <w:r>
        <w:rPr/>
        <w:t xml:space="preserve"> and 1999 c 333 s 3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occupational therapist shall, after evaluating a patient and if the case is a medical one, refer the case to a physician for appropriate medical direction if such direction is lacking. Treatment by an occupational therapist of such a medical case may take place only upon the referral of a physician, osteopathic physician, podiatric physician and surgeon, naturopath, chiropractor, physician assistant, psychologist, </w:t>
      </w:r>
      <w:r>
        <w:rPr>
          <w:u w:val="single"/>
        </w:rPr>
        <w:t xml:space="preserve">optometrist,</w:t>
      </w:r>
      <w:r>
        <w:rPr/>
        <w:t xml:space="preserve"> or advanced registered nurse practitioner licensed to practice in this state.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41b0dcb2bb943cc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5034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934fded5704de2" /><Relationship Type="http://schemas.openxmlformats.org/officeDocument/2006/relationships/footer" Target="/word/footer.xml" Id="R441b0dcb2bb943cc" /></Relationships>
</file>