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914fec866472d" /></Relationships>
</file>

<file path=word/document.xml><?xml version="1.0" encoding="utf-8"?>
<w:document xmlns:w="http://schemas.openxmlformats.org/wordprocessingml/2006/main">
  <w:body>
    <w:p>
      <w:r>
        <w:t>S-0233.1</w:t>
      </w:r>
    </w:p>
    <w:p>
      <w:pPr>
        <w:jc w:val="center"/>
      </w:pPr>
      <w:r>
        <w:t>_______________________________________________</w:t>
      </w:r>
    </w:p>
    <w:p/>
    <w:p>
      <w:pPr>
        <w:jc w:val="center"/>
      </w:pPr>
      <w:r>
        <w:rPr>
          <w:b/>
        </w:rPr>
        <w:t>SENATE BILL 5011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Cleveland, Frockt, and Keiser</w:t>
      </w:r>
    </w:p>
    <w:p/>
    <w:p>
      <w:r>
        <w:rPr>
          <w:t xml:space="preserve">Prefiled 12/12/14.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third-party payor release of health care information; amending RCW 70.02.045;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2014 c 223 s 18 are each amended to read as follows:</w:t>
      </w:r>
    </w:p>
    <w:p>
      <w:pPr>
        <w:spacing w:before="0" w:after="0" w:line="408" w:lineRule="exact"/>
        <w:ind w:left="0" w:right="0" w:firstLine="576"/>
        <w:jc w:val="left"/>
      </w:pPr>
      <w:r>
        <w:rPr/>
        <w:t xml:space="preserve">Third-party payors shall not release health care information disclosed under this chapter, except as required by chapter 43.371 RCW and to the extent that health care providers are authorized to do so under </w:t>
      </w:r>
      <w:r>
        <w:t>((</w:t>
      </w:r>
      <w:r>
        <w:rPr>
          <w:strike/>
        </w:rPr>
        <w:t xml:space="preserve">RCW 70.02.050</w:t>
      </w:r>
      <w:r>
        <w:t>))</w:t>
      </w:r>
      <w:r>
        <w:rPr>
          <w:u w:val="single"/>
        </w:rPr>
        <w:t xml:space="preserve">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8ccc6b1e36e4b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0d684ab6364161" /><Relationship Type="http://schemas.openxmlformats.org/officeDocument/2006/relationships/footer" Target="/word/footer.xml" Id="R78ccc6b1e36e4b57" /></Relationships>
</file>