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fc561f6e184336" /></Relationships>
</file>

<file path=word/document.xml><?xml version="1.0" encoding="utf-8"?>
<w:document xmlns:w="http://schemas.openxmlformats.org/wordprocessingml/2006/main">
  <w:body>
    <w:p>
      <w:pPr>
        <w:jc w:val="left"/>
      </w:pPr>
      <w:r>
        <w:rPr>
          <w:u w:val="single"/>
        </w:rPr>
        <w:t>HOUSE RESOLUTION NO. 2016-4652</w:t>
      </w:r>
      <w:r>
        <w:t xml:space="preserve">, by </w:t>
      </w:r>
      <w:r>
        <w:t>Representatives Chopp, Kristiansen, Appleton, Bergquist, Blake, Buys, Caldier, Chandler, Clibborn, Cody, Condotta, DeBolt, Dent, Dunshee, Dye, Farrell, Fey, Fitzgibbon, Frame, Goodman, Gregerson, Griffey, Haler, Hansen, Hargrove, Harmsworth, Harris, Hawkins, Hayes, Hickel, Holy, Hudgins, G. Hunt,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1,500 soldiers and airmen and airwomen to respond to the state's largest wildfire;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and airwomen continue to provide critical support to federal missions around the world and are willing to make the ultimate sacrifice to protect our freedoms and enhance our safety, including Sergeant First Class Matthew McClintock, who leaves behind a young wife and infant son after he was killed in action in Afghanistan earlier this year;</w:t>
      </w:r>
    </w:p>
    <w:p>
      <w:pPr>
        <w:spacing w:before="0" w:after="0" w:line="240" w:lineRule="exact"/>
        <w:ind w:left="0" w:right="0" w:firstLine="576"/>
        <w:jc w:val="left"/>
      </w:pPr>
      <w:r>
        <w:rPr/>
        <w:t xml:space="preserve">NOW, THEREFORE, BE IT RESOLVED, That the Washington State House of Representatives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House of Representatives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the Secretaries of the United States Army and Air Force, and the President of the United States.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4652 adopted by the House of Representatives</w:t>
      </w:r>
    </w:p>
    <w:p>
      <w:pPr>
        <w:spacing w:before="0" w:after="0" w:line="240" w:lineRule="exact"/>
        <w:ind w:left="0" w:right="0" w:firstLine="576"/>
        <w:jc w:val="center"/>
      </w:pPr>
      <w:r>
        <w:rPr/>
        <w:t xml:space="preserve">February 4,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3100a52a24ec7" /></Relationships>
</file>