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bf6c5b280243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2876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2876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2876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Orwall, Kirby, and Griffey)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foreclosure of deeds of trust; amending RCW 61.24.172 and 61.24.135; adding a new section to chapter 61.24 RCW; creating a new section; repealing RCW 61.24.174;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2015 3rd sp.s. c 4 s 965 are each amended to read as follows:</w:t>
      </w:r>
    </w:p>
    <w:p>
      <w:pPr>
        <w:spacing w:before="0" w:after="0" w:line="408" w:lineRule="exact"/>
        <w:ind w:left="0" w:right="0" w:firstLine="576"/>
        <w:jc w:val="left"/>
      </w:pPr>
      <w:r>
        <w:rPr/>
        <w:t xml:space="preserve">The foreclosure fairness account is created in the custody of the state treasurer. All receipts received under RCW 61.24.174</w:t>
      </w:r>
      <w:r>
        <w:rPr>
          <w:u w:val="single"/>
        </w:rPr>
        <w:t xml:space="preserve">, as it existed prior to the effective date of this section, and section 2 of this act</w:t>
      </w:r>
      <w:r>
        <w:rPr/>
        <w:t xml:space="preserve">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w:t>
      </w:r>
      <w:r>
        <w:rPr>
          <w:u w:val="single"/>
        </w:rPr>
        <w:t xml:space="preserve">Biennial e</w:t>
      </w:r>
      <w:r>
        <w:rPr/>
        <w:t xml:space="preserve">xpenditures from the account must be used as follows: </w:t>
      </w:r>
      <w:r>
        <w:rPr>
          <w:u w:val="single"/>
        </w:rPr>
        <w:t xml:space="preserve">Four hundred thousand dollars to fund the counselor referral hotline. The remaining funds shall be distributed as follows:</w:t>
      </w:r>
      <w:r>
        <w:rPr/>
        <w:t xml:space="preserve"> (1) </w:t>
      </w:r>
      <w:r>
        <w:t>((</w:t>
      </w:r>
      <w:r>
        <w:rPr>
          <w:strike/>
        </w:rPr>
        <w:t xml:space="preserve">No less than seventy-one</w:t>
      </w:r>
      <w:r>
        <w:t>))</w:t>
      </w:r>
      <w:r>
        <w:rPr/>
        <w:t xml:space="preserve"> </w:t>
      </w:r>
      <w:r>
        <w:rPr>
          <w:u w:val="single"/>
        </w:rPr>
        <w:t xml:space="preserve">Sixty-nine</w:t>
      </w:r>
      <w:r>
        <w:rPr/>
        <w:t xml:space="preserve"> percent </w:t>
      </w:r>
      <w:r>
        <w:t>((</w:t>
      </w:r>
      <w:r>
        <w:rPr>
          <w:strike/>
        </w:rPr>
        <w:t xml:space="preserve">must be used</w:t>
      </w:r>
      <w:r>
        <w:t>))</w:t>
      </w:r>
      <w:r>
        <w:rPr/>
        <w:t xml:space="preserve"> for the purposes of providing housing counseling activities to benefit borrowers</w:t>
      </w:r>
      <w:r>
        <w:t>((</w:t>
      </w:r>
      <w:r>
        <w:rPr>
          <w:strike/>
        </w:rPr>
        <w:t xml:space="preserve">, except that this amount may be less than seventy-one percent only if necessary to meet the funding level specified for the office of the attorney general under subsection (2) of this section and the department under subsection (4) of this section</w:t>
      </w:r>
      <w:r>
        <w:t>))</w:t>
      </w:r>
      <w:r>
        <w:rPr/>
        <w:t xml:space="preserve">; (2) </w:t>
      </w:r>
      <w:r>
        <w:t>((</w:t>
      </w:r>
      <w:r>
        <w:rPr>
          <w:strike/>
        </w:rPr>
        <w:t xml:space="preserve">up to six</w:t>
      </w:r>
      <w:r>
        <w:t>))</w:t>
      </w:r>
      <w:r>
        <w:rPr/>
        <w:t xml:space="preserve"> </w:t>
      </w:r>
      <w:r>
        <w:rPr>
          <w:u w:val="single"/>
        </w:rPr>
        <w:t xml:space="preserve">eight</w:t>
      </w:r>
      <w:r>
        <w:rPr/>
        <w:t xml:space="preserve"> percent</w:t>
      </w:r>
      <w:r>
        <w:t>((</w:t>
      </w:r>
      <w:r>
        <w:rPr>
          <w:strike/>
        </w:rPr>
        <w:t xml:space="preserve">, or six hundred fifty-five thousand dollars per biennium, whichever amount is greater,</w:t>
      </w:r>
      <w:r>
        <w:t>))</w:t>
      </w:r>
      <w:r>
        <w:rPr/>
        <w:t xml:space="preserve"> to the office of the attorney general to be used by the consumer protection division to enforce this chapter; (3) </w:t>
      </w:r>
      <w:r>
        <w:t>((</w:t>
      </w:r>
      <w:r>
        <w:rPr>
          <w:strike/>
        </w:rPr>
        <w:t xml:space="preserve">up to two</w:t>
      </w:r>
      <w:r>
        <w:t>))</w:t>
      </w:r>
      <w:r>
        <w:rPr/>
        <w:t xml:space="preserve"> </w:t>
      </w:r>
      <w:r>
        <w:rPr>
          <w:u w:val="single"/>
        </w:rPr>
        <w:t xml:space="preserve">six</w:t>
      </w:r>
      <w:r>
        <w:rPr/>
        <w:t xml:space="preserve">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w:t>
      </w:r>
      <w:r>
        <w:rPr>
          <w:u w:val="single"/>
        </w:rPr>
        <w:t xml:space="preserve">and</w:t>
      </w:r>
      <w:r>
        <w:rPr/>
        <w:t xml:space="preserve"> (4) </w:t>
      </w:r>
      <w:r>
        <w:t>((</w:t>
      </w:r>
      <w:r>
        <w:rPr>
          <w:strike/>
        </w:rPr>
        <w:t xml:space="preserve">up to eighteen</w:t>
      </w:r>
      <w:r>
        <w:t>))</w:t>
      </w:r>
      <w:r>
        <w:rPr/>
        <w:t xml:space="preserve"> </w:t>
      </w:r>
      <w:r>
        <w:rPr>
          <w:u w:val="single"/>
        </w:rPr>
        <w:t xml:space="preserve">seventeen</w:t>
      </w:r>
      <w:r>
        <w:rPr/>
        <w:t xml:space="preserve"> percent</w:t>
      </w:r>
      <w:r>
        <w:t>((</w:t>
      </w:r>
      <w:r>
        <w:rPr>
          <w:strike/>
        </w:rPr>
        <w:t xml:space="preserve">, or one million four hundred thousand dollars per biennium, whichever amount is greater,</w:t>
      </w:r>
      <w:r>
        <w:t>))</w:t>
      </w:r>
      <w:r>
        <w:rPr/>
        <w:t xml:space="preserve"> to the department to be used for implementation and operation of the foreclosure fairness act</w:t>
      </w:r>
      <w:r>
        <w:t>((</w:t>
      </w:r>
      <w:r>
        <w:rPr>
          <w:strike/>
        </w:rPr>
        <w:t xml:space="preserve">; and (5) up to three percent to the department of financial institutions to conduct homeowner prepurchase and postpurchase outreach and education programs as defined in RCW 43.320.150</w:t>
      </w:r>
      <w:r>
        <w:t>))</w:t>
      </w:r>
      <w:r>
        <w:rPr/>
        <w:t xml:space="preserve">.</w:t>
      </w:r>
    </w:p>
    <w:p>
      <w:pPr>
        <w:spacing w:before="0" w:after="0" w:line="408" w:lineRule="exact"/>
        <w:ind w:left="0" w:right="0" w:firstLine="576"/>
        <w:jc w:val="left"/>
      </w:pPr>
      <w:r>
        <w:rPr/>
        <w:t xml:space="preserve">The department shall enter into interagency agreements to contract with the Washington state housing finance commission and other appropriate entities to implement the foreclosure fairness act.</w:t>
      </w:r>
    </w:p>
    <w:p>
      <w:pPr>
        <w:spacing w:before="0" w:after="0" w:line="408" w:lineRule="exact"/>
        <w:ind w:left="0" w:right="0" w:firstLine="576"/>
        <w:jc w:val="left"/>
      </w:pPr>
      <w:r>
        <w:t>((</w:t>
      </w:r>
      <w:r>
        <w:rPr>
          <w:strike/>
        </w:rPr>
        <w:t xml:space="preserve">During fiscal year 2016, the department of commerce may expend funds from the account to review deed of trust and foreclosure laws.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subsections (4) and (5)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two hundred fifty dollars to the department to be deposited, as provided under RCW 61.24.172, into the foreclosure fairness account. The two hundred fifty dollar payment is required for every recorded notice of trustee's sale, but does not apply to the recording of an amended notice of trustee's sale. If the beneficiary previously made a payment under RCW 61.24.174, as it existed prior to the effective date of this section, for a notice of default supporting the recorded notice of trustee's sale, no payment is required under this section.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forty-five days of the end of each quarter.</w:t>
      </w:r>
    </w:p>
    <w:p>
      <w:pPr>
        <w:spacing w:before="0" w:after="0" w:line="408" w:lineRule="exact"/>
        <w:ind w:left="0" w:right="0" w:firstLine="576"/>
        <w:jc w:val="left"/>
      </w:pPr>
      <w:r>
        <w:rPr/>
        <w:t xml:space="preserve">(4)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rPr/>
        <w:t xml:space="preserve">(5) This section does not apply to association beneficiaries subject to chapter 64.32, 64.34, or 64.38 RCW.</w:t>
      </w:r>
    </w:p>
    <w:p>
      <w:pPr>
        <w:spacing w:before="0" w:after="0" w:line="408" w:lineRule="exact"/>
        <w:ind w:left="0" w:right="0" w:firstLine="576"/>
        <w:jc w:val="left"/>
      </w:pPr>
      <w:r>
        <w:rPr/>
        <w:t xml:space="preserve">(6)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135</w:t>
      </w:r>
      <w:r>
        <w:rPr/>
        <w:t xml:space="preserve"> and 2011 c 58 s 14 are each amended to read as follows:</w:t>
      </w:r>
    </w:p>
    <w:p>
      <w:pPr>
        <w:spacing w:before="0" w:after="0" w:line="408" w:lineRule="exact"/>
        <w:ind w:left="0" w:right="0" w:firstLine="576"/>
        <w:jc w:val="left"/>
      </w:pPr>
      <w:r>
        <w:rPr/>
        <w:t xml:space="preserve">(1) It is an unfair or deceptive act or practice under the consumer protection act, chapter 19.86 RCW, for any person, acting alone or in concert with others, to offer, or offer to accept or accept from another, any consideration of any type not to bid, or to reduce a bid, at a sale of property conducted pursuant to a power of sale in a deed of trust. The trustee may decline to complete a sale or deliver the trustee's deed and refund the purchase price, if it appears that the bidding has been collusive or defective, or that the sale might have been void. However, it is not an unfair or deceptive act or practice for any person, including a trustee, to state that a property subject to a recorded notice of trustee's sale or subject to a sale conducted pursuant to this chapter is being sold in an "as-is" condition, or for the beneficiary to arrange to provide financing for a particular bidder or to reach any good faith agreement with the borrower, grantor, any guarantor, or any junior lienholder.</w:t>
      </w:r>
    </w:p>
    <w:p>
      <w:pPr>
        <w:spacing w:before="0" w:after="0" w:line="408" w:lineRule="exact"/>
        <w:ind w:left="0" w:right="0" w:firstLine="576"/>
        <w:jc w:val="left"/>
      </w:pPr>
      <w:r>
        <w:rPr/>
        <w:t xml:space="preserve">(2) It is an unfair or deceptive act in trade or commerce and an unfair method of competition in violation of the consumer protection act, chapter 19.86 RCW, for any person or entity to: (a) Violate the duty of good faith under RCW 61.24.163; (b) fail to comply with the requirements of RCW 61.24.174</w:t>
      </w:r>
      <w:r>
        <w:rPr>
          <w:u w:val="single"/>
        </w:rPr>
        <w:t xml:space="preserve">, as it existed prior to the effective date of this section, or section 2 of this act</w:t>
      </w:r>
      <w:r>
        <w:rPr/>
        <w:t xml:space="preserve">; or (c) fail to initiate contact with a borrower and exercise due diligence as required under RCW 61.24.031.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174</w:t>
      </w:r>
      <w:r>
        <w:rPr/>
        <w:t xml:space="preserve"> (Required payment for each property subject to notice of default</w:t>
      </w:r>
      <w:r>
        <w:rPr>
          <w:rFonts w:ascii="Times New Roman" w:hAnsi="Times New Roman"/>
        </w:rPr>
        <w:t xml:space="preserve">—</w:t>
      </w:r>
      <w:r>
        <w:rPr/>
        <w:t xml:space="preserve">Owner-occupied residential real property</w:t>
      </w:r>
      <w:r>
        <w:rPr>
          <w:rFonts w:ascii="Times New Roman" w:hAnsi="Times New Roman"/>
        </w:rPr>
        <w:t xml:space="preserve">—</w:t>
      </w:r>
      <w:r>
        <w:rPr/>
        <w:t xml:space="preserve">Exception</w:t>
      </w:r>
      <w:r>
        <w:rPr>
          <w:rFonts w:ascii="Times New Roman" w:hAnsi="Times New Roman"/>
        </w:rPr>
        <w:t xml:space="preserve">—</w:t>
      </w:r>
      <w:r>
        <w:rPr/>
        <w:t xml:space="preserve">Deposit into foreclosure fairness account) and 2012 c 185 s 8, 2011 1st sp.s. c 24 s 1, &amp; 2011 c 58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4 of this act does not affect any existing right acquired or liability or obligation incurred under the section repealed or under any rule or order adopted under that section, nor does it affect any proceeding instituted under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0e607e86c504c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813fbd5ef54db0" /><Relationship Type="http://schemas.openxmlformats.org/officeDocument/2006/relationships/footer" Target="/word/footer.xml" Id="R10e607e86c504ce6" /></Relationships>
</file>