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1d93942c3548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2808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Jinkins and Kilduff</w:t>
      </w:r>
    </w:p>
    <w:p/>
    <w:p>
      <w:r>
        <w:rPr>
          <w:t xml:space="preserve">Read first time 01/21/16.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process for a person's immediate family member, guardian, or conservator to petition the court for the person's initial detention under the involuntary treatment act; and amending RCW 71.05.201.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w:t>
      </w:r>
      <w:r>
        <w:rPr>
          <w:u w:val="single"/>
        </w:rPr>
        <w:t xml:space="preserve">filed in the county in which the designated mental health professional investigation occurred or was requested to occur and must be</w:t>
      </w:r>
      <w:r>
        <w:rPr/>
        <w:t xml:space="preserv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mental health professional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
      <w:pPr>
        <w:jc w:val="center"/>
      </w:pPr>
      <w:r>
        <w:rPr>
          <w:b/>
        </w:rPr>
        <w:t>--- END ---</w:t>
      </w:r>
    </w:p>
    <w:sectPr>
      <w:pgNumType w:start="1"/>
      <w:footerReference xmlns:r="http://schemas.openxmlformats.org/officeDocument/2006/relationships" r:id="R4b7beb252ba5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0363b9b874362" /><Relationship Type="http://schemas.openxmlformats.org/officeDocument/2006/relationships/footer" Target="/word/footer.xml" Id="R4b7beb252ba54c0f" /></Relationships>
</file>