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96d32f93cc4f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2773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2016</w:t>
            </w:r>
          </w:p>
          <w:p>
            <w:pPr>
              <w:ind w:left="0" w:right="0" w:firstLine="360"/>
            </w:pPr>
            <w:r>
              <w:t xml:space="preserve">Yeas </w:t>
              <w:t xml:space="preserve">87</w:t>
            </w:r>
            <w:r>
              <w:t xml:space="preserve">  Nays </w:t>
              <w:t xml:space="preserve">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2773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2773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Klippert, Appleton, Haler, Hayes, Dent, and Nealey</w:t>
      </w:r>
    </w:p>
    <w:p/>
    <w:p>
      <w:r>
        <w:rPr>
          <w:t xml:space="preserve">Read first time 01/20/16.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the warrant authority of coroners; amending RCW 36.24.100; and repealing RCW 36.24.110 and 36.24.120.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100</w:t>
      </w:r>
      <w:r>
        <w:rPr/>
        <w:t xml:space="preserve"> and 1963 c 4 s 36.24.100 are each amended to read as follows:</w:t>
      </w:r>
    </w:p>
    <w:p>
      <w:pPr>
        <w:spacing w:before="0" w:after="0" w:line="408" w:lineRule="exact"/>
        <w:ind w:left="0" w:right="0" w:firstLine="576"/>
        <w:jc w:val="left"/>
      </w:pPr>
      <w:r>
        <w:rPr/>
        <w:t xml:space="preserve">If the jury finds that the person was killed and the party committing the homicide is ascertained by the inquisition, but is not in custody, the coroner </w:t>
      </w:r>
      <w:r>
        <w:t>((</w:t>
      </w:r>
      <w:r>
        <w:rPr>
          <w:strike/>
        </w:rPr>
        <w:t xml:space="preserve">shall issue a warrant for the arrest of the person charged, returnable forthwith to the nearest magistrate</w:t>
      </w:r>
      <w:r>
        <w:t>))</w:t>
      </w:r>
      <w:r>
        <w:rPr/>
        <w:t xml:space="preserve"> </w:t>
      </w:r>
      <w:r>
        <w:rPr>
          <w:u w:val="single"/>
        </w:rPr>
        <w:t xml:space="preserve">must deliver the findings of the jury and all documents, testimony, records generated, possessed, or used during the inquest to the prosecuting attorney of the county where the inquest was held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36</w:t>
      </w:r>
      <w:r>
        <w:rPr/>
        <w:t xml:space="preserve">.</w:t>
      </w:r>
      <w:r>
        <w:t xml:space="preserve">24</w:t>
      </w:r>
      <w:r>
        <w:rPr/>
        <w:t xml:space="preserve">.</w:t>
      </w:r>
      <w:r>
        <w:t xml:space="preserve">110</w:t>
      </w:r>
      <w:r>
        <w:rPr/>
        <w:t xml:space="preserve"> (Form of warrant) and 2009 c 549 s 4037 &amp; 1963 c 4 s 36.24.110; and</w:t>
      </w:r>
    </w:p>
    <w:p>
      <w:pPr>
        <w:spacing w:before="0" w:after="0" w:line="408" w:lineRule="exact"/>
        <w:ind w:left="0" w:right="0" w:firstLine="576"/>
        <w:jc w:val="left"/>
      </w:pPr>
      <w:r>
        <w:t>(2)</w:t>
      </w:r>
      <w:r>
        <w:rPr/>
        <w:t xml:space="preserve">RCW </w:t>
      </w:r>
      <w:r>
        <w:t xml:space="preserve">36</w:t>
      </w:r>
      <w:r>
        <w:rPr/>
        <w:t xml:space="preserve">.</w:t>
      </w:r>
      <w:r>
        <w:t xml:space="preserve">24</w:t>
      </w:r>
      <w:r>
        <w:rPr/>
        <w:t xml:space="preserve">.</w:t>
      </w:r>
      <w:r>
        <w:t xml:space="preserve">120</w:t>
      </w:r>
      <w:r>
        <w:rPr/>
        <w:t xml:space="preserve"> (Service of warrant) and 1963 c 4 s 36.24.120.</w:t>
      </w:r>
    </w:p>
    <w:p/>
    <w:p>
      <w:pPr>
        <w:jc w:val="center"/>
      </w:pPr>
      <w:r>
        <w:rPr>
          <w:b/>
        </w:rPr>
        <w:t>--- END ---</w:t>
      </w:r>
    </w:p>
    <w:sectPr>
      <w:pgNumType w:start="1"/>
      <w:footerReference xmlns:r="http://schemas.openxmlformats.org/officeDocument/2006/relationships" r:id="R54c53c50e7bb45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211df95e2745a9" /><Relationship Type="http://schemas.openxmlformats.org/officeDocument/2006/relationships/footer" Target="/word/footer.xml" Id="R54c53c50e7bb45d0" /></Relationships>
</file>