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876650d3ad478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2730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2016</w:t>
            </w:r>
          </w:p>
          <w:p>
            <w:pPr>
              <w:ind w:left="0" w:right="0" w:firstLine="360"/>
            </w:pPr>
            <w:r>
              <w:t xml:space="preserve">Yeas </w:t>
              <w:t xml:space="preserve">80</w:t>
            </w:r>
            <w:r>
              <w:t xml:space="preserve">  Nays </w:t>
              <w:t xml:space="preserve">16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2730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2730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Peterson, Walkinshaw, Ortiz-Self, Bergquist, Kagi, Gregerson, Kilduff, Frame, and Pollet)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prescription monitoring program; and reenacting and amending RCW 70.225.040.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2015 c 259 s 1 and 2015 c 49 s 1 are each reenacted and amended to read as follows:</w:t>
      </w:r>
    </w:p>
    <w:p>
      <w:pPr>
        <w:spacing w:before="0" w:after="0" w:line="408" w:lineRule="exact"/>
        <w:ind w:left="0" w:right="0" w:firstLine="576"/>
        <w:jc w:val="left"/>
      </w:pPr>
      <w:r>
        <w:rPr/>
        <w:t xml:space="preserve">(1) Prescription information submitted to the department must be confidential, in compliance with chapter 70.02 RCW and federal health care information privacy requirements and not subject to disclosure, except as provided in subsections (3) and (4) of this section.</w:t>
      </w:r>
    </w:p>
    <w:p>
      <w:pPr>
        <w:spacing w:before="0" w:after="0" w:line="408" w:lineRule="exact"/>
        <w:ind w:left="0" w:right="0" w:firstLine="576"/>
        <w:jc w:val="left"/>
      </w:pPr>
      <w:r>
        <w:rPr/>
        <w:t xml:space="preserve">(2) The department must maintain procedures to ensure that the privacy and confidentiality of patients and patient information collected, recorded, transmitted, and maintained is not disclosed to persons except as in subsections (3) and (4)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w:t>
      </w:r>
      <w:r>
        <w:rPr>
          <w:u w:val="single"/>
        </w:rPr>
        <w:t xml:space="preserve">or legend drugs</w:t>
      </w:r>
      <w:r>
        <w:rPr/>
        <w:t xml:space="preserve">,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director's designee within the department of labor and industries regarding workers' compensation claimants;</w:t>
      </w:r>
    </w:p>
    <w:p>
      <w:pPr>
        <w:spacing w:before="0" w:after="0" w:line="408" w:lineRule="exact"/>
        <w:ind w:left="0" w:right="0" w:firstLine="576"/>
        <w:jc w:val="left"/>
      </w:pPr>
      <w:r>
        <w:rPr/>
        <w:t xml:space="preserve">(g)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(h) Other entities under grand jury subpoena or court order;</w:t>
      </w:r>
    </w:p>
    <w:p>
      <w:pPr>
        <w:spacing w:before="0" w:after="0" w:line="408" w:lineRule="exact"/>
        <w:ind w:left="0" w:right="0" w:firstLine="576"/>
        <w:jc w:val="left"/>
      </w:pPr>
      <w:r>
        <w:rPr/>
        <w:t xml:space="preserve">(i) Personnel of the department for purposes of administration and enforcement of this chapter or chapter 69.50 RCW; </w:t>
      </w:r>
      <w:r>
        <w:t>((</w:t>
      </w:r>
      <w:r>
        <w:rPr>
          <w:strike/>
        </w:rPr>
        <w:t xml:space="preserve">and</w:t>
      </w:r>
      <w:r>
        <w:t>))</w:t>
      </w:r>
    </w:p>
    <w:p>
      <w:pPr>
        <w:spacing w:before="0" w:after="0" w:line="408" w:lineRule="exact"/>
        <w:ind w:left="0" w:right="0" w:firstLine="576"/>
        <w:jc w:val="left"/>
      </w:pPr>
      <w:r>
        <w:rPr/>
        <w:t xml:space="preserve">(j)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r>
        <w:rPr>
          <w:u w:val="single"/>
        </w:rPr>
        <w:t xml:space="preserve">;</w:t>
      </w:r>
    </w:p>
    <w:p>
      <w:pPr>
        <w:spacing w:before="0" w:after="0" w:line="408" w:lineRule="exact"/>
        <w:ind w:left="0" w:right="0" w:firstLine="576"/>
        <w:jc w:val="left"/>
      </w:pPr>
      <w:r>
        <w:rPr>
          <w:u w:val="single"/>
        </w:rPr>
        <w:t xml:space="preserve">(k) A health care facility or entity for the purpose of providing medical or pharmaceutical care to the patients of the facility or entity, if:</w:t>
      </w:r>
    </w:p>
    <w:p>
      <w:pPr>
        <w:spacing w:before="0" w:after="0" w:line="408" w:lineRule="exact"/>
        <w:ind w:left="0" w:right="0" w:firstLine="576"/>
        <w:jc w:val="left"/>
      </w:pPr>
      <w:r>
        <w:rPr>
          <w:u w:val="single"/>
        </w:rPr>
        <w:t xml:space="preserve">(i) The facility or entity is licensed by the department; and</w:t>
      </w:r>
    </w:p>
    <w:p>
      <w:pPr>
        <w:spacing w:before="0" w:after="0" w:line="408" w:lineRule="exact"/>
        <w:ind w:left="0" w:right="0" w:firstLine="576"/>
        <w:jc w:val="left"/>
      </w:pPr>
      <w:r>
        <w:rPr>
          <w:u w:val="single"/>
        </w:rPr>
        <w:t xml:space="preserve">(ii) The facility or entity is a trading partner with the state's health information exchange; and</w:t>
      </w:r>
    </w:p>
    <w:p>
      <w:pPr>
        <w:spacing w:before="0" w:after="0" w:line="408" w:lineRule="exact"/>
        <w:ind w:left="0" w:right="0" w:firstLine="576"/>
        <w:jc w:val="left"/>
      </w:pPr>
      <w:r>
        <w:rPr>
          <w:u w:val="single"/>
        </w:rPr>
        <w:t xml:space="preserve">(l) A health care provider group of five or more providers for purposes of providing medical or pharmaceutical care to the patients of the provider group if:</w:t>
      </w:r>
    </w:p>
    <w:p>
      <w:pPr>
        <w:spacing w:before="0" w:after="0" w:line="408" w:lineRule="exact"/>
        <w:ind w:left="0" w:right="0" w:firstLine="576"/>
        <w:jc w:val="left"/>
      </w:pPr>
      <w:r>
        <w:rPr>
          <w:u w:val="single"/>
        </w:rPr>
        <w:t xml:space="preserve">(i) All the providers in the provider group are licensed by the department; and</w:t>
      </w:r>
    </w:p>
    <w:p>
      <w:pPr>
        <w:spacing w:before="0" w:after="0" w:line="408" w:lineRule="exact"/>
        <w:ind w:left="0" w:right="0" w:firstLine="576"/>
        <w:jc w:val="left"/>
      </w:pPr>
      <w:r>
        <w:rPr>
          <w:u w:val="single"/>
        </w:rPr>
        <w:t xml:space="preserve">(ii) The provider group is a trading partner with the state's health information exchange</w:t>
      </w:r>
      <w:r>
        <w:rPr/>
        <w:t xml:space="preserve">.</w:t>
      </w:r>
    </w:p>
    <w:p>
      <w:pPr>
        <w:spacing w:before="0" w:after="0" w:line="408" w:lineRule="exact"/>
        <w:ind w:left="0" w:right="0" w:firstLine="576"/>
        <w:jc w:val="left"/>
      </w:pPr>
      <w:r>
        <w:rPr/>
        <w:t xml:space="preserve">(4)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t xml:space="preserve">(5) A dispenser or practitioner acting in good faith is immune from any civil, criminal, or administrative liability that might otherwise be incurred or imposed for requesting, receiving, or using information from the program.</w:t>
      </w:r>
    </w:p>
    <w:p/>
    <w:p>
      <w:pPr>
        <w:jc w:val="center"/>
      </w:pPr>
      <w:r>
        <w:rPr>
          <w:b/>
        </w:rPr>
        <w:t>--- END ---</w:t>
      </w:r>
    </w:p>
    <w:sectPr>
      <w:pgNumType w:start="1"/>
      <w:footerReference xmlns:r="http://schemas.openxmlformats.org/officeDocument/2006/relationships" r:id="R5d4b40c6169843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0905088aa944c3" /><Relationship Type="http://schemas.openxmlformats.org/officeDocument/2006/relationships/footer" Target="/word/footer.xml" Id="R5d4b40c616984380" /></Relationships>
</file>