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fb95fe9d74b6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2663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11,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1,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2663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2663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Springer and Kilduff</w:t>
      </w:r>
    </w:p>
    <w:p/>
    <w:p>
      <w:r>
        <w:rPr>
          <w:t xml:space="preserve">Read first time 01/18/16.  </w:t>
        </w:rPr>
      </w:r>
      <w:r>
        <w:rPr>
          <w:t xml:space="preserve">Referred to Committee on State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sunshine committee recommendations to repeal obsolete exemptions to public disclosure provisions; and repealing RCW 42.56.480 and 66.16.090.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RCW </w:t>
      </w:r>
      <w:r>
        <w:t xml:space="preserve">42</w:t>
      </w:r>
      <w:r>
        <w:rPr/>
        <w:t xml:space="preserve">.</w:t>
      </w:r>
      <w:r>
        <w:t xml:space="preserve">56</w:t>
      </w:r>
      <w:r>
        <w:rPr/>
        <w:t xml:space="preserve">.</w:t>
      </w:r>
      <w:r>
        <w:t xml:space="preserve">480</w:t>
      </w:r>
      <w:r>
        <w:rPr/>
        <w:t xml:space="preserve"> (Inactive programs) and 2005 c 274 s 428; and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16</w:t>
      </w:r>
      <w:r>
        <w:rPr/>
        <w:t xml:space="preserve">.</w:t>
      </w:r>
      <w:r>
        <w:t xml:space="preserve">090</w:t>
      </w:r>
      <w:r>
        <w:rPr/>
        <w:t xml:space="preserve"> (Record of individual purchases confidential</w:t>
      </w:r>
      <w:r>
        <w:rPr>
          <w:rFonts w:ascii="Times New Roman" w:hAnsi="Times New Roman"/>
        </w:rPr>
        <w:t xml:space="preserve">—</w:t>
      </w:r>
      <w:r>
        <w:rPr/>
        <w:t xml:space="preserve">Penalty for disclosure) and 1933 ex.s. c 62 s 89.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e2bfef7d3ae4d4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2663.PL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69067c0364615" /><Relationship Type="http://schemas.openxmlformats.org/officeDocument/2006/relationships/footer" Target="/word/footer.xml" Id="R7e2bfef7d3ae4d42" /></Relationships>
</file>