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2dea172ef441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2439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86</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2439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2439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Kagi, Walsh, Senn, Johnson, Orwall, Dent, McBride, Reykdal, Jinkins, Tharinger, Fey, Tarleton, Stanford, Springer, Frame, Kilduff, Sells, Bergquist, and Goodman)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28A.310.500; adding a new section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only prescribe medications for children and youth as a last resort.</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w:t>
      </w:r>
      <w:r>
        <w:rPr>
          <w:u w:val="single"/>
        </w:rPr>
        <w:t xml:space="preserve">(a)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u w:val="single"/>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u w:val="single"/>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u w:val="single"/>
        </w:rPr>
        <w:t xml:space="preserve">(d) The comprehensive school suicide prevention model must consist of:</w:t>
      </w:r>
    </w:p>
    <w:p>
      <w:pPr>
        <w:spacing w:before="0" w:after="0" w:line="408" w:lineRule="exact"/>
        <w:ind w:left="0" w:right="0" w:firstLine="576"/>
        <w:jc w:val="left"/>
      </w:pPr>
      <w:r>
        <w:rPr>
          <w:u w:val="single"/>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u w:val="single"/>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u w:val="single"/>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u w:val="single"/>
        </w:rPr>
        <w:t xml:space="preserve">(iv) Enhanced community-based linkages of support; and</w:t>
      </w:r>
    </w:p>
    <w:p>
      <w:pPr>
        <w:spacing w:before="0" w:after="0" w:line="408" w:lineRule="exact"/>
        <w:ind w:left="0" w:right="0" w:firstLine="576"/>
        <w:jc w:val="left"/>
      </w:pPr>
      <w:r>
        <w:rPr>
          <w:u w:val="single"/>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u w:val="single"/>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with the exception of sections 1, 2, and 3 of this act, referencing this act by bill or chapter number, is not provided by June 30, 2016, in the omnibus appropriations act, this act, except for sections 1, 2, and 3 of this act, is null and void.</w:t>
      </w:r>
    </w:p>
    <w:p/>
    <w:p>
      <w:pPr>
        <w:jc w:val="center"/>
      </w:pPr>
      <w:r>
        <w:rPr>
          <w:b/>
        </w:rPr>
        <w:t>--- END ---</w:t>
      </w:r>
    </w:p>
    <w:sectPr>
      <w:pgNumType w:start="1"/>
      <w:footerReference xmlns:r="http://schemas.openxmlformats.org/officeDocument/2006/relationships" r:id="R2fbedef96c9744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2439.PL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e35df60e94f2f" /><Relationship Type="http://schemas.openxmlformats.org/officeDocument/2006/relationships/footer" Target="/word/footer.xml" Id="R2fbedef96c9744f2" /></Relationships>
</file>