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c05cd22784c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2427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2427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Local Government (originally sponsored by Representatives Springer, Stokesbary, Fitzgibbon, Muri, Appleton,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modernization; amending RCW 19.360.020, 19.360.030, 19.360.040, 19.360.050, 19.360.060, 36.62.252, 36.32.235, 36.32.245, 35.58.585, and 36.57A.030;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governments must be efficient and prudent stewards of our residents' tax resources. To best serve our communities, certain local government statutes must be amended to reflect technological and organizational change. It is the intent of the legislature to clarify current authorities so that local government can better serve their residents, and it is the intent of the legislature that the following sections allow local government to pursue modern methods of serving their residents while preserving the public's right to access public records, and judiciously using scarce county resources to achieve maximum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020</w:t>
      </w:r>
      <w:r>
        <w:rPr/>
        <w:t xml:space="preserve"> and 2015 c 72 s 2 are each amended to read as follows:</w:t>
      </w:r>
    </w:p>
    <w:p>
      <w:pPr>
        <w:spacing w:before="0" w:after="0" w:line="408" w:lineRule="exact"/>
        <w:ind w:left="0" w:right="0" w:firstLine="576"/>
        <w:jc w:val="left"/>
      </w:pPr>
      <w:r>
        <w:rPr/>
        <w:t xml:space="preserve">(1) Unless specifically provided otherwise by law or agency rule, whenever the use of a written signature is authorized or required by this code with a state </w:t>
      </w:r>
      <w:r>
        <w:rPr>
          <w:u w:val="single"/>
        </w:rPr>
        <w:t xml:space="preserve">or local</w:t>
      </w:r>
      <w:r>
        <w:rPr/>
        <w:t xml:space="preserve"> agency, an electronic signature may be used with the same force and effect as the use of a signature affixed by hand, as long as the electronic signature conforms to the definition in RCW 19.360.030 and the writing conforms to RCW 19.360.040.</w:t>
      </w:r>
    </w:p>
    <w:p>
      <w:pPr>
        <w:spacing w:before="0" w:after="0" w:line="408" w:lineRule="exact"/>
        <w:ind w:left="0" w:right="0" w:firstLine="576"/>
        <w:jc w:val="left"/>
      </w:pPr>
      <w:r>
        <w:rPr/>
        <w:t xml:space="preserve">(2) Except as otherwise provided by law, each state </w:t>
      </w:r>
      <w:r>
        <w:rPr>
          <w:u w:val="single"/>
        </w:rPr>
        <w:t xml:space="preserve">or local</w:t>
      </w:r>
      <w:r>
        <w:rPr/>
        <w:t xml:space="preserv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w:t>
      </w:r>
      <w:r>
        <w:rPr>
          <w:u w:val="single"/>
        </w:rPr>
        <w:t xml:space="preserve">or local</w:t>
      </w:r>
      <w:r>
        <w:rPr/>
        <w:t xml:space="preserv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0" w:after="0" w:line="408" w:lineRule="exact"/>
        <w:ind w:left="0" w:right="0" w:firstLine="576"/>
        <w:jc w:val="left"/>
      </w:pPr>
      <w:r>
        <w:rPr>
          <w:u w:val="single"/>
        </w:rPr>
        <w:t xml:space="preserve">(5) Except as otherwise provided by law, for governmental affairs and governmental transactions with local agencies, each local agency electing to send and accept shall establish the method that must be used for electronic submissions and electronic signatures. The method and process for electronic submissions and the use of electronic signatures must be established by ordinance, resolution, policy, or rule. The local agency shall also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030</w:t>
      </w:r>
      <w:r>
        <w:rPr/>
        <w:t xml:space="preserve"> and 2015 c 72 s 3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"signature"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040</w:t>
      </w:r>
      <w:r>
        <w:rPr/>
        <w:t xml:space="preserve"> and 2015 c 72 s 4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"writing"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w:t>
      </w:r>
      <w:r>
        <w:rPr>
          <w:u w:val="single"/>
        </w:rPr>
        <w:t xml:space="preserve">or local</w:t>
      </w:r>
      <w:r>
        <w:rPr/>
        <w:t xml:space="preserve"> agency record retention, preservation, 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050</w:t>
      </w:r>
      <w:r>
        <w:rPr/>
        <w:t xml:space="preserve"> and 2015 c 72 s 5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"mail" is used in this code and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to transmit a writing with a state </w:t>
      </w:r>
      <w:r>
        <w:rPr>
          <w:u w:val="single"/>
        </w:rPr>
        <w:t xml:space="preserve">or local</w:t>
      </w:r>
      <w:r>
        <w:rPr/>
        <w:t xml:space="preserv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060</w:t>
      </w:r>
      <w:r>
        <w:rPr/>
        <w:t xml:space="preserve"> and 2015 c 72 s 6 are each amended to read as follows:</w:t>
      </w:r>
    </w:p>
    <w:p>
      <w:pPr>
        <w:spacing w:before="0" w:after="0" w:line="408" w:lineRule="exact"/>
        <w:ind w:left="0" w:right="0" w:firstLine="576"/>
        <w:jc w:val="left"/>
      </w:pPr>
      <w:r>
        <w:rPr/>
        <w:t xml:space="preserve">For purposes of RCW 19.360.020 through 19.360.050, "state agency" means any state board, commission, bureau, committee, department, institution, division, or tribunal in the executive branch of state government, including statewide elected offices and institutions of higher education created and supported by the state government. </w:t>
      </w:r>
      <w:r>
        <w:rPr>
          <w:u w:val="single"/>
        </w:rPr>
        <w:t xml:space="preserve">"Local agency" means every county, city, town, municipal corporation, quasi-municipal corporation, special purpose district, or other local public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62</w:t>
      </w:r>
      <w:r>
        <w:rPr/>
        <w:t xml:space="preserve">.</w:t>
      </w:r>
      <w:r>
        <w:t xml:space="preserve">252</w:t>
      </w:r>
      <w:r>
        <w:rPr/>
        <w:t xml:space="preserve"> and 1984 c 26 s 20 are each amended to read as follows:</w:t>
      </w:r>
    </w:p>
    <w:p>
      <w:pPr>
        <w:spacing w:before="0" w:after="0" w:line="408" w:lineRule="exact"/>
        <w:ind w:left="0" w:right="0" w:firstLine="576"/>
        <w:jc w:val="left"/>
      </w:pPr>
      <w:r>
        <w:rPr/>
        <w:t xml:space="preserve">Every county which maintains a county hospital or infirmary shall establish a "county hospital fund" into which fund shall be deposited all unrestricted moneys received from any source for hospital or infirmary services including money received for services to recipients of public assistance and other persons without income and resources sufficient to secure such services. The county may maintain other funds for restricted moneys. Obligations incurred by the hospital shall be paid from such funds by the county treasurer in the same manner as general county obligations are paid</w:t>
      </w:r>
      <w:r>
        <w:rPr>
          <w:u w:val="single"/>
        </w:rPr>
        <w:t xml:space="preserve">, except that in counties where a contract has been executed in accordance with RCW 36.62.290, warrants may be issued by the hospital administrator for the hospital, if authorized by the county legislative authority and the county treasurer</w:t>
      </w:r>
      <w:r>
        <w:rPr/>
        <w:t xml:space="preserve">. The county treasurer shall furnish to the county legislative authority a monthly report of receipts and disbursements in the county hospital funds which report shall also show the balance of cash on hand.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w:t>
      </w:r>
      <w:r>
        <w:rPr>
          <w:u w:val="single"/>
        </w:rPr>
        <w:t xml:space="preserve">may be in either hard copy or electronic form as specified by the county,</w:t>
      </w:r>
      <w:r>
        <w:rPr/>
        <w:t xml:space="preserve">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245</w:t>
      </w:r>
      <w:r>
        <w:rPr/>
        <w:t xml:space="preserve"> and 2007 c 88 s 1 are each amended to read as follows:</w:t>
      </w:r>
    </w:p>
    <w:p>
      <w:pPr>
        <w:spacing w:before="0" w:after="0" w:line="408" w:lineRule="exact"/>
        <w:ind w:left="0" w:right="0" w:firstLine="576"/>
        <w:jc w:val="left"/>
      </w:pPr>
      <w:r>
        <w:rPr/>
        <w:t xml:space="preserve">(1) No contract for the purchase of materials, equipment, or supplies may be entered into by the county legislative authority or by any elected or appointed officer of the county until after bids have been submitted to the county. Bid specifications shall be in writing and shall be filed with the clerk of the county legislative authority for public inspection. An advertisement shall be published in the official newspaper of the county stating the time and place where bids will be opened, the time after which bids will not be received, the materials, equipment, supplies, or services to be purchased, and that the specifications may be seen at the office of the clerk of the county legislative authority. The advertisement shall be published at least once at least thirteen days prior to the last date upon which bids will be received.</w:t>
      </w:r>
    </w:p>
    <w:p>
      <w:pPr>
        <w:spacing w:before="0" w:after="0" w:line="408" w:lineRule="exact"/>
        <w:ind w:left="0" w:right="0" w:firstLine="576"/>
        <w:jc w:val="left"/>
      </w:pPr>
      <w:r>
        <w:rPr/>
        <w:t xml:space="preserve">(2) The bids shall be in writing</w:t>
      </w:r>
      <w:r>
        <w:rPr>
          <w:u w:val="single"/>
        </w:rPr>
        <w:t xml:space="preserve">, may be in either hard copy or electronic form as specified by the county,</w:t>
      </w:r>
      <w:r>
        <w:rPr/>
        <w:t xml:space="preserve"> and </w:t>
      </w:r>
      <w:r>
        <w:rPr>
          <w:u w:val="single"/>
        </w:rPr>
        <w:t xml:space="preserve">shall be</w:t>
      </w:r>
      <w:r>
        <w:rPr/>
        <w:t xml:space="preserve"> filed with the clerk. The bids shall be opened and read in public at the time and place named in the advertisement. Contracts requiring competitive bidding under this section may be awarded only to the lowest responsible bidder. Immediately after the award is made, the bid quotations shall be recorded and open to public inspection and shall be available by telephone inquiry. Any or all bids may be rejected for good cause.</w:t>
      </w:r>
    </w:p>
    <w:p>
      <w:pPr>
        <w:spacing w:before="0" w:after="0" w:line="408" w:lineRule="exact"/>
        <w:ind w:left="0" w:right="0" w:firstLine="576"/>
        <w:jc w:val="left"/>
      </w:pPr>
      <w:r>
        <w:rPr/>
        <w:t xml:space="preserve">(3) For advertisement and formal sealed bidding to be dispensed with as to purchases between </w:t>
      </w:r>
      <w:r>
        <w:t>((</w:t>
      </w:r>
      <w:r>
        <w:rPr>
          <w:strike/>
        </w:rPr>
        <w:t xml:space="preserve">five</w:t>
      </w:r>
      <w:r>
        <w:t>))</w:t>
      </w:r>
      <w:r>
        <w:rPr/>
        <w:t xml:space="preserve"> </w:t>
      </w:r>
      <w:r>
        <w:rPr>
          <w:u w:val="single"/>
        </w:rPr>
        <w:t xml:space="preserve">ten</w:t>
      </w:r>
      <w:r>
        <w:rPr/>
        <w:t xml:space="preserve"> thousand and </w:t>
      </w:r>
      <w:r>
        <w:t>((</w:t>
      </w:r>
      <w:r>
        <w:rPr>
          <w:strike/>
        </w:rPr>
        <w:t xml:space="preserve">twenty-five</w:t>
      </w:r>
      <w:r>
        <w:t>))</w:t>
      </w:r>
      <w:r>
        <w:rPr/>
        <w:t xml:space="preserve"> </w:t>
      </w:r>
      <w:r>
        <w:rPr>
          <w:u w:val="single"/>
        </w:rPr>
        <w:t xml:space="preserve">fifty</w:t>
      </w:r>
      <w:r>
        <w:rPr/>
        <w:t xml:space="preserve"> thousand dollars, the county legislative authority must use the uniform process to award contracts as provided in RCW 39.04.190. Advertisement and formal sealed bidding may be dispensed with as to purchases of less than </w:t>
      </w:r>
      <w:r>
        <w:t>((</w:t>
      </w:r>
      <w:r>
        <w:rPr>
          <w:strike/>
        </w:rPr>
        <w:t xml:space="preserve">five</w:t>
      </w:r>
      <w:r>
        <w:t>))</w:t>
      </w:r>
      <w:r>
        <w:rPr/>
        <w:t xml:space="preserve"> </w:t>
      </w:r>
      <w:r>
        <w:rPr>
          <w:u w:val="single"/>
        </w:rPr>
        <w:t xml:space="preserve">ten</w:t>
      </w:r>
      <w:r>
        <w:rPr/>
        <w:t xml:space="preserve"> thousand dollars upon the order of the county legislative authority.</w:t>
      </w:r>
    </w:p>
    <w:p>
      <w:pPr>
        <w:spacing w:before="0" w:after="0" w:line="408" w:lineRule="exact"/>
        <w:ind w:left="0" w:right="0" w:firstLine="576"/>
        <w:jc w:val="left"/>
      </w:pPr>
      <w:r>
        <w:rPr/>
        <w:t xml:space="preserve">(4) This section does not apply to performance-based contracts, as defined in RCW 39.35A.020(4), that are negotiated under chapter 39.35A RCW; or contracts and purchases for the printing of election ballots, voting machine labels, and all other election material containing the names of candidates and ballot titles.</w:t>
      </w:r>
    </w:p>
    <w:p>
      <w:pPr>
        <w:spacing w:before="0" w:after="0" w:line="408" w:lineRule="exact"/>
        <w:ind w:left="0" w:right="0" w:firstLine="576"/>
        <w:jc w:val="left"/>
      </w:pPr>
      <w:r>
        <w:rPr/>
        <w:t xml:space="preserve">(5) Nothing in this section shall prohibit the legislative authority of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(6) This section does not apply to contracting for public defender services by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585</w:t>
      </w:r>
      <w:r>
        <w:rPr/>
        <w:t xml:space="preserve"> and 2008 c 123 s 2 are each amended to read as follows:</w:t>
      </w:r>
    </w:p>
    <w:p>
      <w:pPr>
        <w:spacing w:before="0" w:after="0" w:line="408" w:lineRule="exact"/>
        <w:ind w:left="0" w:right="0" w:firstLine="576"/>
        <w:jc w:val="left"/>
      </w:pPr>
      <w:r>
        <w:rPr/>
        <w:t xml:space="preserve">(1) Both a metropolitan municipal corporation and a city-owned transit system may establish, by resolution, a schedule of fines and penalties for civil infractions established in RCW 35.58.580. Fines established shall not exceed those imposed for class 1 infractions under RCW 7.80.120.</w:t>
      </w:r>
    </w:p>
    <w:p>
      <w:pPr>
        <w:spacing w:before="0" w:after="0" w:line="408" w:lineRule="exact"/>
        <w:ind w:left="0" w:right="0" w:firstLine="576"/>
        <w:jc w:val="left"/>
      </w:pPr>
      <w:r>
        <w:rPr/>
        <w:t xml:space="preserve">(2)(a) Both a metropolitan municipal corporation and a city-owned transit system may designate persons to monitor fare payment who are equivalent to, and are authorized to exercise all the powers of, an enforcement officer as defined in RCW 7.80.040. Both a metropolitan municipal corporation and a city-owned transit system may employ personnel to either monitor fare payment or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may also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 Issue a citation </w:t>
      </w:r>
      <w:r>
        <w:rPr>
          <w:u w:val="single"/>
        </w:rPr>
        <w:t xml:space="preserve">for a civil infraction established in RCW 35.58.580</w:t>
      </w:r>
      <w:r>
        <w:rPr/>
        <w:t xml:space="preserve"> conforming to the requirements established in RCW 7.80.070</w:t>
      </w:r>
      <w:r>
        <w:rPr>
          <w:u w:val="single"/>
        </w:rPr>
        <w:t xml:space="preserve">, except that the form for the notice of civil infraction must be approved by the administrative office of the courts and must not include vehicle information</w:t>
      </w:r>
      <w:r>
        <w:rPr/>
        <w:t xml:space="preserve">; and</w:t>
      </w:r>
    </w:p>
    <w:p>
      <w:pPr>
        <w:spacing w:before="0" w:after="0" w:line="408" w:lineRule="exact"/>
        <w:ind w:left="0" w:right="0" w:firstLine="576"/>
        <w:jc w:val="left"/>
      </w:pPr>
      <w:r>
        <w:rPr/>
        <w:t xml:space="preserve">(iv) Request that a passenger leave the bus or other mode of public transportation when the passenger has not produced proof of payment after being asked to do so by a person designated to monitor fare payment.</w:t>
      </w:r>
    </w:p>
    <w:p>
      <w:pPr>
        <w:spacing w:before="0" w:after="0" w:line="408" w:lineRule="exact"/>
        <w:ind w:left="0" w:right="0" w:firstLine="576"/>
        <w:jc w:val="left"/>
      </w:pPr>
      <w:r>
        <w:rPr/>
        <w:t xml:space="preserve">(3) Both a metropolitan municipal corporation and a city-owned transit system shall keep records of citations in the manner prescribed by RCW 7.80.150. All civil infractions established by this section and RCW 35.58.580 and 35.58.590 shall be heard and determined by a district court as provided in RCW 7.80.010 (1) and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030</w:t>
      </w:r>
      <w:r>
        <w:rPr/>
        <w:t xml:space="preserve"> and 1977 ex.s. c 44 s 1 are each amended to read as follows:</w:t>
      </w:r>
    </w:p>
    <w:p>
      <w:pPr>
        <w:spacing w:before="0" w:after="0" w:line="408" w:lineRule="exact"/>
        <w:ind w:left="0" w:right="0" w:firstLine="576"/>
        <w:jc w:val="left"/>
      </w:pPr>
      <w:r>
        <w:rPr/>
        <w:t xml:space="preserve">Any conference which finds it desirable to establish a public transportation benefit area or change the boundaries of any existing public transportation benefit area shall fix a date for a public hearing thereon, or the legislative bodies of any two or more component cities or the county legislative body by resolution may require the public transportation improvement conference to fix a date for a public hearing thereon. Prior to the convening of the public hearing, the county governing body shall delineate the area of the county proposed to be included within the transportation benefit area, and shall furnish a copy of such delineation to each incorporated city within such area. Each city shall advise the county governing body, on a preliminary basis, of its desire to be included or excluded from the transportation benefit area </w:t>
      </w:r>
      <w:r>
        <w:rPr>
          <w:u w:val="single"/>
        </w:rPr>
        <w:t xml:space="preserve">by means of an ordinance adopted by the legislative body of that city</w:t>
      </w:r>
      <w:r>
        <w:rPr/>
        <w:t xml:space="preserve">. The county governing body shall cause the delineations to be revised to reflect the wishes of such incorporated cities. This delineation shall be considered by the conference at the public hearing for inclusion in the public transportation benefit area.</w:t>
      </w:r>
    </w:p>
    <w:p>
      <w:pPr>
        <w:spacing w:before="0" w:after="0" w:line="408" w:lineRule="exact"/>
        <w:ind w:left="0" w:right="0" w:firstLine="576"/>
        <w:jc w:val="left"/>
      </w:pPr>
      <w:r>
        <w:rPr/>
        <w:t xml:space="preserve">Notice of such hearing shall be published once a week for at least four consecutive weeks in one or more newspapers of general circulation within the area. The notice shall contain a description and map of the boundaries of the proposed public transportation benefit area and shall state the time and place of the hearing and the fact that any changes in the boundaries of the public transportation benefit area will be considered at such time and place. At such hearing or any continuation thereof, any interested person may appear and be heard on all matters relating to the effect of the formation of the proposed public transportation benefit area.</w:t>
      </w:r>
    </w:p>
    <w:p>
      <w:pPr>
        <w:spacing w:before="0" w:after="0" w:line="408" w:lineRule="exact"/>
        <w:ind w:left="0" w:right="0" w:firstLine="576"/>
        <w:jc w:val="left"/>
      </w:pPr>
      <w:r>
        <w:rPr/>
        <w:t xml:space="preserve">The conference may make such changes in the boundaries of the public transportation benefit area as they shall deem reasonable and proper, but may not delete any portion of the proposed area which will create an island of included or excluded lands, and may not delete a portion of any city. If the conference shall determine that any additional territory should be included in the public transportation benefit area, a second hearing shall be held and notice given in the same manner as for the original hearing. The conference may adjourn the hearing on the formation of a public transportation benefit area from time to time not exceeding thirty days in all.</w:t>
      </w:r>
    </w:p>
    <w:p>
      <w:pPr>
        <w:spacing w:before="0" w:after="0" w:line="408" w:lineRule="exact"/>
        <w:ind w:left="0" w:right="0" w:firstLine="576"/>
        <w:jc w:val="left"/>
      </w:pPr>
      <w:r>
        <w:rPr/>
        <w:t xml:space="preserve">Following the conclusion of such hearing the conference shall adopt a resolution fixing the boundaries of the proposed public transportation benefit area, declaring that the formation of the proposed public transportation benefit area will be conducive to the welfare and benefit of the persons and property therein.</w:t>
      </w:r>
    </w:p>
    <w:p>
      <w:pPr>
        <w:spacing w:before="0" w:after="0" w:line="408" w:lineRule="exact"/>
        <w:ind w:left="0" w:right="0" w:firstLine="576"/>
        <w:jc w:val="left"/>
      </w:pPr>
      <w:r>
        <w:rPr/>
        <w:t xml:space="preserve">Within thirty days of the adoption of such conference resolution, the county legislative authority of each county wherein a conference has established proposed boundaries of a public transportation benefit area, may by resolution, upon making a legislative finding that the proposed benefit area includes portions of the county which could not be reasonably expected to benefit from such benefit area or excludes portions of the county which could be reasonably expected to benefit from its creation, disapprove and terminate the establishment of such public transportation benefit area within such county.</w:t>
      </w:r>
    </w:p>
    <w:p/>
    <w:p>
      <w:pPr>
        <w:jc w:val="center"/>
      </w:pPr>
      <w:r>
        <w:rPr>
          <w:b/>
        </w:rPr>
        <w:t>--- END ---</w:t>
      </w:r>
    </w:p>
    <w:sectPr>
      <w:pgNumType w:start="1"/>
      <w:footerReference xmlns:r="http://schemas.openxmlformats.org/officeDocument/2006/relationships" r:id="R0b4b2f3627534b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bf5fb6ffb54c39" /><Relationship Type="http://schemas.openxmlformats.org/officeDocument/2006/relationships/footer" Target="/word/footer.xml" Id="R0b4b2f3627534b82" /></Relationships>
</file>