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55d3d2ce7449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2360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2360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2360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Lytton, Magendanz, Sullivan, Reykdal, Rossetti, and Santos</w:t>
      </w:r>
    </w:p>
    <w:p/>
    <w:p>
      <w:r>
        <w:rPr>
          <w:t xml:space="preserve">Read first time 01/11/16.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quality education council; amending RCW 28A.175.075, 28A.230.090, 28A.300.136, and 28A.400.201; and repealing RCW 28A.290.010 and 28A.290.020.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2013 c 23 s 46 are each amended to read as follows:</w:t>
      </w:r>
    </w:p>
    <w:p>
      <w:pPr>
        <w:spacing w:before="0" w:after="0" w:line="408" w:lineRule="exact"/>
        <w:ind w:left="0" w:right="0" w:firstLine="576"/>
        <w:jc w:val="left"/>
      </w:pPr>
      <w:r>
        <w:rPr/>
        <w:t xml:space="preserve">(1) The office of the superintendent of public instruction shall establish a state-level building bridges work group that includes K-12 and state agencies that work with youth who have dropped out or are at risk of dropping out of school. The following agencies shall appoint representatives to the work group: The office of the superintendent of public instruction, the workforce training and education coordinating board, the department of early learning, the employment security department, the state board for community and technical colleges, the department of health, the community mobilization office, and the children's services and behavioral health and recovery divisions of the department of social and health services. The work group should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spacing w:before="0" w:after="0" w:line="408" w:lineRule="exact"/>
        <w:ind w:left="0" w:right="0" w:firstLine="576"/>
        <w:jc w:val="left"/>
      </w:pPr>
      <w:r>
        <w:rPr/>
        <w:t xml:space="preserve">(2) To assist and enhance the work of the building bridges programs established in RCW 28A.175.025, the state-level work group shall:</w:t>
      </w:r>
    </w:p>
    <w:p>
      <w:pPr>
        <w:spacing w:before="0" w:after="0" w:line="408" w:lineRule="exact"/>
        <w:ind w:left="0" w:right="0" w:firstLine="576"/>
        <w:jc w:val="left"/>
      </w:pPr>
      <w:r>
        <w:rPr/>
        <w:t xml:space="preserve">(a) Identify and make recommendations to the legislature for the reduction of fiscal, legal, and regulatory barriers that prevent coordination of program resources across agencies at the state and local level;</w:t>
      </w:r>
    </w:p>
    <w:p>
      <w:pPr>
        <w:spacing w:before="0" w:after="0" w:line="408" w:lineRule="exact"/>
        <w:ind w:left="0" w:right="0" w:firstLine="576"/>
        <w:jc w:val="left"/>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spacing w:before="0" w:after="0" w:line="408" w:lineRule="exact"/>
        <w:ind w:left="0" w:right="0" w:firstLine="576"/>
        <w:jc w:val="left"/>
      </w:pPr>
      <w:r>
        <w:rPr/>
        <w:t xml:space="preserve">(c) Identify research-based and emerging best practices regarding prevention, intervention, and retrieval programs.</w:t>
      </w:r>
    </w:p>
    <w:p>
      <w:pPr>
        <w:spacing w:before="0" w:after="0" w:line="408" w:lineRule="exact"/>
        <w:ind w:left="0" w:right="0" w:firstLine="576"/>
        <w:jc w:val="left"/>
      </w:pPr>
      <w:r>
        <w:rPr/>
        <w:t xml:space="preserve">(3)(a) The work group shall report to the </w:t>
      </w:r>
      <w:r>
        <w:t>((</w:t>
      </w:r>
      <w:r>
        <w:rPr>
          <w:strike/>
        </w:rPr>
        <w:t xml:space="preserve">quality education council,</w:t>
      </w:r>
      <w:r>
        <w:t>))</w:t>
      </w:r>
      <w:r>
        <w:rPr/>
        <w:t xml:space="preserve"> appropriate committees of the legislature</w:t>
      </w:r>
      <w:r>
        <w:t>((</w:t>
      </w:r>
      <w:r>
        <w:rPr>
          <w:strike/>
        </w:rPr>
        <w:t xml:space="preserve">,</w:t>
      </w:r>
      <w:r>
        <w:t>))</w:t>
      </w:r>
      <w:r>
        <w:rPr/>
        <w:t xml:space="preserv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spacing w:before="0" w:after="0" w:line="408" w:lineRule="exact"/>
        <w:ind w:left="0" w:right="0" w:firstLine="576"/>
        <w:jc w:val="left"/>
      </w:pPr>
      <w:r>
        <w:rPr/>
        <w:t xml:space="preserve">(b) By September 15, 2010, the work group shall report on:</w:t>
      </w:r>
    </w:p>
    <w:p>
      <w:pPr>
        <w:spacing w:before="0" w:after="0" w:line="408" w:lineRule="exact"/>
        <w:ind w:left="0" w:right="0" w:firstLine="576"/>
        <w:jc w:val="left"/>
      </w:pPr>
      <w:r>
        <w:rPr/>
        <w:t xml:space="preserve">(i) A recommended state goal and annual state targets for the percentage of students graduating from high school;</w:t>
      </w:r>
    </w:p>
    <w:p>
      <w:pPr>
        <w:spacing w:before="0" w:after="0" w:line="408" w:lineRule="exact"/>
        <w:ind w:left="0" w:right="0" w:firstLine="576"/>
        <w:jc w:val="left"/>
      </w:pPr>
      <w:r>
        <w:rPr/>
        <w:t xml:space="preserve">(ii) A recommended state goal and annual state targets for the percentage of youth who have dropped out of school who should be reengaged in education and be college and work ready;</w:t>
      </w:r>
    </w:p>
    <w:p>
      <w:pPr>
        <w:spacing w:before="0" w:after="0" w:line="408" w:lineRule="exact"/>
        <w:ind w:left="0" w:right="0" w:firstLine="576"/>
        <w:jc w:val="left"/>
      </w:pPr>
      <w:r>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spacing w:before="0" w:after="0" w:line="408" w:lineRule="exact"/>
        <w:ind w:left="0" w:right="0" w:firstLine="576"/>
        <w:jc w:val="left"/>
      </w:pPr>
      <w:r>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p>
    <w:p>
      <w:pPr>
        <w:spacing w:before="0" w:after="0" w:line="408" w:lineRule="exact"/>
        <w:ind w:left="0" w:right="0" w:firstLine="576"/>
        <w:jc w:val="left"/>
      </w:pPr>
      <w:r>
        <w:rPr/>
        <w:t xml:space="preserve">(4) State agencies in the building bridges work group shall work together, wherever feasible, on the following activities to support school/family/community partnerships engaged in building K-12 dropout prevention, intervention, and reengagement systems:</w:t>
      </w:r>
    </w:p>
    <w:p>
      <w:pPr>
        <w:spacing w:before="0" w:after="0" w:line="408" w:lineRule="exact"/>
        <w:ind w:left="0" w:right="0" w:firstLine="576"/>
        <w:jc w:val="left"/>
      </w:pPr>
      <w:r>
        <w:rPr/>
        <w:t xml:space="preserve">(a) Providing opportunities for coordination and flexibility of program eligibility and funding criteria;</w:t>
      </w:r>
    </w:p>
    <w:p>
      <w:pPr>
        <w:spacing w:before="0" w:after="0" w:line="408" w:lineRule="exact"/>
        <w:ind w:left="0" w:right="0" w:firstLine="576"/>
        <w:jc w:val="left"/>
      </w:pPr>
      <w:r>
        <w:rPr/>
        <w:t xml:space="preserve">(b) Providing joint funding;</w:t>
      </w:r>
    </w:p>
    <w:p>
      <w:pPr>
        <w:spacing w:before="0" w:after="0" w:line="408" w:lineRule="exact"/>
        <w:ind w:left="0" w:right="0" w:firstLine="576"/>
        <w:jc w:val="left"/>
      </w:pPr>
      <w:r>
        <w:rPr/>
        <w:t xml:space="preserve">(c) Developing protocols and templates for model agreements on sharing records and data;</w:t>
      </w:r>
    </w:p>
    <w:p>
      <w:pPr>
        <w:spacing w:before="0" w:after="0" w:line="408" w:lineRule="exact"/>
        <w:ind w:left="0" w:right="0" w:firstLine="576"/>
        <w:jc w:val="left"/>
      </w:pPr>
      <w:r>
        <w:rPr/>
        <w:t xml:space="preserve">(d) Providing joint professional development opportunities that provide knowledge and training on:</w:t>
      </w:r>
    </w:p>
    <w:p>
      <w:pPr>
        <w:spacing w:before="0" w:after="0" w:line="408" w:lineRule="exact"/>
        <w:ind w:left="0" w:right="0" w:firstLine="576"/>
        <w:jc w:val="left"/>
      </w:pPr>
      <w:r>
        <w:rPr/>
        <w:t xml:space="preserve">(i) Research-based and promising practices;</w:t>
      </w:r>
    </w:p>
    <w:p>
      <w:pPr>
        <w:spacing w:before="0" w:after="0" w:line="408" w:lineRule="exact"/>
        <w:ind w:left="0" w:right="0" w:firstLine="576"/>
        <w:jc w:val="left"/>
      </w:pPr>
      <w:r>
        <w:rPr/>
        <w:t xml:space="preserve">(ii) The availability of programs and services for vulnerable youth; and</w:t>
      </w:r>
    </w:p>
    <w:p>
      <w:pPr>
        <w:spacing w:before="0" w:after="0" w:line="408" w:lineRule="exact"/>
        <w:ind w:left="0" w:right="0" w:firstLine="576"/>
        <w:jc w:val="left"/>
      </w:pPr>
      <w:r>
        <w:rPr/>
        <w:t xml:space="preserve">(iii) Cultural competence.</w:t>
      </w:r>
    </w:p>
    <w:p>
      <w:pPr>
        <w:spacing w:before="0" w:after="0" w:line="408" w:lineRule="exact"/>
        <w:ind w:left="0" w:right="0" w:firstLine="576"/>
        <w:jc w:val="left"/>
      </w:pPr>
      <w:r>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spacing w:before="0" w:after="0" w:line="408" w:lineRule="exact"/>
        <w:ind w:left="0" w:right="0" w:firstLine="576"/>
        <w:jc w:val="left"/>
      </w:pPr>
      <w:r>
        <w:rPr/>
        <w:t xml:space="preserve">(a) Whether to adopt an official conceptual approach or framework for all entities working with vulnerable youth that can support coordinated planning and evaluation;</w:t>
      </w:r>
    </w:p>
    <w:p>
      <w:pPr>
        <w:spacing w:before="0" w:after="0" w:line="408" w:lineRule="exact"/>
        <w:ind w:left="0" w:right="0" w:firstLine="576"/>
        <w:jc w:val="left"/>
      </w:pPr>
      <w:r>
        <w:rPr/>
        <w:t xml:space="preserve">(b) The creation of a performance-based management system, including outcomes, indicators, and performance measures relating to vulnerable youth and programs serving them, including accountability for the dropout issue;</w:t>
      </w:r>
    </w:p>
    <w:p>
      <w:pPr>
        <w:spacing w:before="0" w:after="0" w:line="408" w:lineRule="exact"/>
        <w:ind w:left="0" w:right="0" w:firstLine="576"/>
        <w:jc w:val="left"/>
      </w:pPr>
      <w:r>
        <w:rPr/>
        <w:t xml:space="preserve">(c) The development of regional and/or county-level multipartner youth consortia with a specific charge to assist school districts and local communities in building K-12 comprehensive dropout prevention, intervention, and reengagement systems;</w:t>
      </w:r>
    </w:p>
    <w:p>
      <w:pPr>
        <w:spacing w:before="0" w:after="0" w:line="408" w:lineRule="exact"/>
        <w:ind w:left="0" w:right="0" w:firstLine="576"/>
        <w:jc w:val="left"/>
      </w:pPr>
      <w:r>
        <w:rPr/>
        <w:t xml:space="preserve">(d) The development of integrated or school-based one-stop shopping for services that would:</w:t>
      </w:r>
    </w:p>
    <w:p>
      <w:pPr>
        <w:spacing w:before="0" w:after="0" w:line="408" w:lineRule="exact"/>
        <w:ind w:left="0" w:right="0" w:firstLine="576"/>
        <w:jc w:val="left"/>
      </w:pPr>
      <w:r>
        <w:rPr/>
        <w:t xml:space="preserve">(i) Provide individualized attention to the neediest youth and prioritized access to services for students identified by a dropout early warning and intervention data system;</w:t>
      </w:r>
    </w:p>
    <w:p>
      <w:pPr>
        <w:spacing w:before="0" w:after="0" w:line="408" w:lineRule="exact"/>
        <w:ind w:left="0" w:right="0" w:firstLine="576"/>
        <w:jc w:val="left"/>
      </w:pPr>
      <w:r>
        <w:rPr/>
        <w:t xml:space="preserve">(ii) Establish protocols for coordinating data and services, including getting data release at time of intake and common assessment and referral processes; and</w:t>
      </w:r>
    </w:p>
    <w:p>
      <w:pPr>
        <w:spacing w:before="0" w:after="0" w:line="408" w:lineRule="exact"/>
        <w:ind w:left="0" w:right="0" w:firstLine="576"/>
        <w:jc w:val="left"/>
      </w:pPr>
      <w:r>
        <w:rPr/>
        <w:t xml:space="preserve">(iii) Build a system of single case managers across agencies;</w:t>
      </w:r>
    </w:p>
    <w:p>
      <w:pPr>
        <w:spacing w:before="0" w:after="0" w:line="408" w:lineRule="exact"/>
        <w:ind w:left="0" w:right="0" w:firstLine="576"/>
        <w:jc w:val="left"/>
      </w:pPr>
      <w:r>
        <w:rPr/>
        <w:t xml:space="preserve">(e) Launching a statewide media campaign on increasing the high school graduation rate; and</w:t>
      </w:r>
    </w:p>
    <w:p>
      <w:pPr>
        <w:spacing w:before="0" w:after="0" w:line="408" w:lineRule="exact"/>
        <w:ind w:left="0" w:right="0" w:firstLine="576"/>
        <w:jc w:val="left"/>
      </w:pPr>
      <w:r>
        <w:rPr/>
        <w:t xml:space="preserve">(f) Developing a statewide database of available services for vulnerable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w:t>
      </w:r>
      <w:r>
        <w:t>((</w:t>
      </w:r>
      <w:r>
        <w:rPr>
          <w:strike/>
        </w:rPr>
        <w:t xml:space="preserve">and to the quality education council established under RCW 28A.290.010</w:t>
      </w:r>
      <w:r>
        <w:t>))</w:t>
      </w:r>
      <w:r>
        <w:rPr/>
        <w:t xml:space="preserve">.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136</w:t>
      </w:r>
      <w:r>
        <w:rPr/>
        <w:t xml:space="preserve"> and 2013 c 23 s 49 are each amended to read as follows:</w:t>
      </w:r>
    </w:p>
    <w:p>
      <w:pPr>
        <w:spacing w:before="0" w:after="0" w:line="408" w:lineRule="exact"/>
        <w:ind w:left="0" w:right="0" w:firstLine="576"/>
        <w:jc w:val="left"/>
      </w:pPr>
      <w:r>
        <w:rPr/>
        <w:t xml:space="preserve">(1) An educational opportunity gap oversight and accountability committee is created to synthesize the findings and recommendations from the 2008 achievement gap studies into an implementation plan, and to recommend policies and strategies to the superintendent of public instruction, the professional educator standards board, and the state board of education to close the achievement gap.</w:t>
      </w:r>
    </w:p>
    <w:p>
      <w:pPr>
        <w:spacing w:before="0" w:after="0" w:line="408" w:lineRule="exact"/>
        <w:ind w:left="0" w:right="0" w:firstLine="576"/>
        <w:jc w:val="left"/>
      </w:pPr>
      <w:r>
        <w:rPr/>
        <w:t xml:space="preserve">(2) The committee shall recommend specific policies and strategies in at least the following areas:</w:t>
      </w:r>
    </w:p>
    <w:p>
      <w:pPr>
        <w:spacing w:before="0" w:after="0" w:line="408" w:lineRule="exact"/>
        <w:ind w:left="0" w:right="0" w:firstLine="576"/>
        <w:jc w:val="left"/>
      </w:pPr>
      <w:r>
        <w:rPr/>
        <w:t xml:space="preserve">(a) Supporting and facilitating parent and community involvement and outreach;</w:t>
      </w:r>
    </w:p>
    <w:p>
      <w:pPr>
        <w:spacing w:before="0" w:after="0" w:line="408" w:lineRule="exact"/>
        <w:ind w:left="0" w:right="0" w:firstLine="576"/>
        <w:jc w:val="left"/>
      </w:pPr>
      <w:r>
        <w:rPr/>
        <w:t xml:space="preserve">(b) Enhancing the cultural competency of current and future educators and the cultural relevance of curriculum and instruction;</w:t>
      </w:r>
    </w:p>
    <w:p>
      <w:pPr>
        <w:spacing w:before="0" w:after="0" w:line="408" w:lineRule="exact"/>
        <w:ind w:left="0" w:right="0" w:firstLine="576"/>
        <w:jc w:val="left"/>
      </w:pPr>
      <w:r>
        <w:rPr/>
        <w:t xml:space="preserve">(c) Expanding pathways and strategies to prepare and recruit diverse teachers and administrators;</w:t>
      </w:r>
    </w:p>
    <w:p>
      <w:pPr>
        <w:spacing w:before="0" w:after="0" w:line="408" w:lineRule="exact"/>
        <w:ind w:left="0" w:right="0" w:firstLine="576"/>
        <w:jc w:val="left"/>
      </w:pPr>
      <w:r>
        <w:rPr/>
        <w:t xml:space="preserve">(d) Recommending current programs and resources that should be redirected to narrow the gap;</w:t>
      </w:r>
    </w:p>
    <w:p>
      <w:pPr>
        <w:spacing w:before="0" w:after="0" w:line="408" w:lineRule="exact"/>
        <w:ind w:left="0" w:right="0" w:firstLine="576"/>
        <w:jc w:val="left"/>
      </w:pPr>
      <w:r>
        <w:rPr/>
        <w:t xml:space="preserve">(e) Identifying data elements and systems needed to monitor progress in closing the gap;</w:t>
      </w:r>
    </w:p>
    <w:p>
      <w:pPr>
        <w:spacing w:before="0" w:after="0" w:line="408" w:lineRule="exact"/>
        <w:ind w:left="0" w:right="0" w:firstLine="576"/>
        <w:jc w:val="left"/>
      </w:pPr>
      <w:r>
        <w:rPr/>
        <w:t xml:space="preserve">(f) Making closing the achievement gap part of the school and school district improvement process; and</w:t>
      </w:r>
    </w:p>
    <w:p>
      <w:pPr>
        <w:spacing w:before="0" w:after="0" w:line="408" w:lineRule="exact"/>
        <w:ind w:left="0" w:right="0" w:firstLine="576"/>
        <w:jc w:val="left"/>
      </w:pPr>
      <w:r>
        <w:rPr/>
        <w:t xml:space="preserve">(g) Exploring innovative school models that have shown success in closing the achievement gap.</w:t>
      </w:r>
    </w:p>
    <w:p>
      <w:pPr>
        <w:spacing w:before="0" w:after="0" w:line="408" w:lineRule="exact"/>
        <w:ind w:left="0" w:right="0" w:firstLine="576"/>
        <w:jc w:val="left"/>
      </w:pPr>
      <w:r>
        <w:rPr/>
        <w:t xml:space="preserve">(3) Taking a multidisciplinary approach, the committee may seek input and advice from other state and local agencies and organizations with expertise in health, social services, gang and violence prevention, substance abuse prevention, and other issues that disproportionately affect student achievement and student success.</w:t>
      </w:r>
    </w:p>
    <w:p>
      <w:pPr>
        <w:spacing w:before="0" w:after="0" w:line="408" w:lineRule="exact"/>
        <w:ind w:left="0" w:right="0" w:firstLine="576"/>
        <w:jc w:val="left"/>
      </w:pPr>
      <w:r>
        <w:rPr/>
        <w:t xml:space="preserve">(4) The educational opportunity gap oversight and accountability committee shall be composed of the following members:</w:t>
      </w:r>
    </w:p>
    <w:p>
      <w:pPr>
        <w:spacing w:before="0" w:after="0" w:line="408" w:lineRule="exact"/>
        <w:ind w:left="0" w:right="0" w:firstLine="576"/>
        <w:jc w:val="left"/>
      </w:pPr>
      <w:r>
        <w:rPr/>
        <w:t xml:space="preserve">(a) The chairs and ranking minority members of the house and senate education committees, or their designees;</w:t>
      </w:r>
    </w:p>
    <w:p>
      <w:pPr>
        <w:spacing w:before="0" w:after="0" w:line="408" w:lineRule="exact"/>
        <w:ind w:left="0" w:right="0" w:firstLine="576"/>
        <w:jc w:val="left"/>
      </w:pPr>
      <w:r>
        <w:rPr/>
        <w:t xml:space="preserve">(b) One additional member of the house of representatives appointed by the speaker of the house and one additional member of the senate appointed by the president of the senate;</w:t>
      </w:r>
    </w:p>
    <w:p>
      <w:pPr>
        <w:spacing w:before="0" w:after="0" w:line="408" w:lineRule="exact"/>
        <w:ind w:left="0" w:right="0" w:firstLine="576"/>
        <w:jc w:val="left"/>
      </w:pPr>
      <w:r>
        <w:rPr/>
        <w:t xml:space="preserve">(c) A representative of the office of the education ombuds;</w:t>
      </w:r>
    </w:p>
    <w:p>
      <w:pPr>
        <w:spacing w:before="0" w:after="0" w:line="408" w:lineRule="exact"/>
        <w:ind w:left="0" w:right="0" w:firstLine="576"/>
        <w:jc w:val="left"/>
      </w:pPr>
      <w:r>
        <w:rPr/>
        <w:t xml:space="preserve">(d) A representative of the center for the improvement of student learning in the office of the superintendent of public instruction;</w:t>
      </w:r>
    </w:p>
    <w:p>
      <w:pPr>
        <w:spacing w:before="0" w:after="0" w:line="408" w:lineRule="exact"/>
        <w:ind w:left="0" w:right="0" w:firstLine="576"/>
        <w:jc w:val="left"/>
      </w:pPr>
      <w:r>
        <w:rPr/>
        <w:t xml:space="preserve">(e) A representative of federally recognized Indian tribes whose traditional lands and territories lie within the borders of Washington state, designated by the federally recognized tribes; and</w:t>
      </w:r>
    </w:p>
    <w:p>
      <w:pPr>
        <w:spacing w:before="0" w:after="0" w:line="408" w:lineRule="exact"/>
        <w:ind w:left="0" w:right="0" w:firstLine="576"/>
        <w:jc w:val="left"/>
      </w:pPr>
      <w:r>
        <w:rPr/>
        <w:t xml:space="preserve">(f) Four members appointed by the governor in consultation with the state ethnic commissions, who represent the following populations: African-Americans, Hispanic Americans, Asian Americans, and Pacific Islander Americans.</w:t>
      </w:r>
    </w:p>
    <w:p>
      <w:pPr>
        <w:spacing w:before="0" w:after="0" w:line="408" w:lineRule="exact"/>
        <w:ind w:left="0" w:right="0" w:firstLine="576"/>
        <w:jc w:val="left"/>
      </w:pPr>
      <w:r>
        <w:rPr/>
        <w:t xml:space="preserve">(5) The governor and the tribes are encouraged to designate members who have experience working in and with schools.</w:t>
      </w:r>
    </w:p>
    <w:p>
      <w:pPr>
        <w:spacing w:before="0" w:after="0" w:line="408" w:lineRule="exact"/>
        <w:ind w:left="0" w:right="0" w:firstLine="576"/>
        <w:jc w:val="left"/>
      </w:pPr>
      <w:r>
        <w:rPr/>
        <w:t xml:space="preserve">(6) The committee may convene ad hoc working groups to obtain additional input and participation from community members. Members of ad hoc working groups shall serve without compensation and shall not be reimbursed for travel or other expenses.</w:t>
      </w:r>
    </w:p>
    <w:p>
      <w:pPr>
        <w:spacing w:before="0" w:after="0" w:line="408" w:lineRule="exact"/>
        <w:ind w:left="0" w:right="0" w:firstLine="576"/>
        <w:jc w:val="left"/>
      </w:pPr>
      <w:r>
        <w:rPr/>
        <w:t xml:space="preserve">(7) The chair or cochairs of the committee shall be selected by the members of the committee. Staff support for the committee shall be provided by the center for the improvement of student learning. Members of the committee shall serve without compensation but must be reimbursed as provided in RCW 43.03.050 and 43.03.060. Legislative members of the committee shall be reimbursed for travel expenses in accordance with RCW 44.04.120.</w:t>
      </w:r>
    </w:p>
    <w:p>
      <w:pPr>
        <w:spacing w:before="0" w:after="0" w:line="408" w:lineRule="exact"/>
        <w:ind w:left="0" w:right="0" w:firstLine="576"/>
        <w:jc w:val="left"/>
      </w:pPr>
      <w:r>
        <w:rPr/>
        <w:t xml:space="preserve">(8) The superintendent of public instruction, the state board of education, </w:t>
      </w:r>
      <w:r>
        <w:rPr>
          <w:u w:val="single"/>
        </w:rPr>
        <w:t xml:space="preserve">and</w:t>
      </w:r>
      <w:r>
        <w:rPr/>
        <w:t xml:space="preserve"> the professional educator standards board</w:t>
      </w:r>
      <w:r>
        <w:t>((</w:t>
      </w:r>
      <w:r>
        <w:rPr>
          <w:strike/>
        </w:rPr>
        <w:t xml:space="preserve">, and the quality education council</w:t>
      </w:r>
      <w:r>
        <w:t>))</w:t>
      </w:r>
      <w:r>
        <w:rPr/>
        <w:t xml:space="preserve"> shall work collaboratively with the educational opportunity gap oversight and accountability committee to close the achievement gap.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201</w:t>
      </w:r>
      <w:r>
        <w:rPr/>
        <w:t xml:space="preserve"> and 2011 1st sp.s. c 43 s 468 are each amended to read as follows:</w:t>
      </w:r>
    </w:p>
    <w:p>
      <w:pPr>
        <w:spacing w:before="0" w:after="0" w:line="408" w:lineRule="exact"/>
        <w:ind w:left="0" w:right="0" w:firstLine="576"/>
        <w:jc w:val="left"/>
      </w:pPr>
      <w:r>
        <w:rPr/>
        <w:t xml:space="preserve">(1) The legislature recognizes that providing students with the opportunity to access a world-class educational system depends on our continuing ability to provide students with access to world-class educators. The legislature also understands that continuing to attract and retain the highest quality educators will require increased investments. The legislature intends to enhance the current salary allocation model and recognizes that changes to the current model cannot be imposed without great deliberation and input from teachers, administrators, and classified employees. Therefore, it is the intent of the legislature to begin the process of developing an enhanced salary allocation model that is collaboratively designed to ensure the rationality of any conclusions regarding what constitutes adequate compensation.</w:t>
      </w:r>
    </w:p>
    <w:p>
      <w:pPr>
        <w:spacing w:before="0" w:after="0" w:line="408" w:lineRule="exact"/>
        <w:ind w:left="0" w:right="0" w:firstLine="576"/>
        <w:jc w:val="left"/>
      </w:pPr>
      <w:r>
        <w:rPr/>
        <w:t xml:space="preserve">(2) Beginning July 1, 2011, the office of the superintendent of public instruction, in collaboration with the human resources director in the office of financial management, shall convene a technical working group to recommend the details of an enhanced salary allocation model that aligns state expectations for educator development and certification with the compensation system and establishes recommendations for a concurrent implementation schedule. In addition to any other details the technical working group deems necessary, the technical working group shall make recommendations on the following:</w:t>
      </w:r>
    </w:p>
    <w:p>
      <w:pPr>
        <w:spacing w:before="0" w:after="0" w:line="408" w:lineRule="exact"/>
        <w:ind w:left="0" w:right="0" w:firstLine="576"/>
        <w:jc w:val="left"/>
      </w:pPr>
      <w:r>
        <w:rPr/>
        <w:t xml:space="preserve">(a) How to reduce the number of tiers within the existing salary allocation model;</w:t>
      </w:r>
    </w:p>
    <w:p>
      <w:pPr>
        <w:spacing w:before="0" w:after="0" w:line="408" w:lineRule="exact"/>
        <w:ind w:left="0" w:right="0" w:firstLine="576"/>
        <w:jc w:val="left"/>
      </w:pPr>
      <w:r>
        <w:rPr/>
        <w:t xml:space="preserve">(b) How to account for labor market adjustments;</w:t>
      </w:r>
    </w:p>
    <w:p>
      <w:pPr>
        <w:spacing w:before="0" w:after="0" w:line="408" w:lineRule="exact"/>
        <w:ind w:left="0" w:right="0" w:firstLine="576"/>
        <w:jc w:val="left"/>
      </w:pPr>
      <w:r>
        <w:rPr/>
        <w:t xml:space="preserve">(c) How to account for different geographic regions of the state where districts may encounter difficulty recruiting and retaining teachers;</w:t>
      </w:r>
    </w:p>
    <w:p>
      <w:pPr>
        <w:spacing w:before="0" w:after="0" w:line="408" w:lineRule="exact"/>
        <w:ind w:left="0" w:right="0" w:firstLine="576"/>
        <w:jc w:val="left"/>
      </w:pPr>
      <w:r>
        <w:rPr/>
        <w:t xml:space="preserve">(d) The role of and types of bonuses available;</w:t>
      </w:r>
    </w:p>
    <w:p>
      <w:pPr>
        <w:spacing w:before="0" w:after="0" w:line="408" w:lineRule="exact"/>
        <w:ind w:left="0" w:right="0" w:firstLine="576"/>
        <w:jc w:val="left"/>
      </w:pPr>
      <w:r>
        <w:rPr/>
        <w:t xml:space="preserve">(e) Ways to accomplish salary equalization over a set number of years; and</w:t>
      </w:r>
    </w:p>
    <w:p>
      <w:pPr>
        <w:spacing w:before="0" w:after="0" w:line="408" w:lineRule="exact"/>
        <w:ind w:left="0" w:right="0" w:firstLine="576"/>
        <w:jc w:val="left"/>
      </w:pPr>
      <w:r>
        <w:rPr/>
        <w:t xml:space="preserve">(f) Initial fiscal estimates for implementing the recommendations including a recognition that staff on the existing salary allocation model would have the option to grandfather in permanently to the existing schedule.</w:t>
      </w:r>
    </w:p>
    <w:p>
      <w:pPr>
        <w:spacing w:before="0" w:after="0" w:line="408" w:lineRule="exact"/>
        <w:ind w:left="0" w:right="0" w:firstLine="576"/>
        <w:jc w:val="left"/>
      </w:pPr>
      <w:r>
        <w:rPr/>
        <w:t xml:space="preserve">(3) As part of its work, the technical working group shall conduct or contract for a preliminary comparative labor market analysis of salaries and other compensation for school district employees to be conducted and shall include the results in any reports to the legislature. For the purposes of this subsection, "salaries and other compensation" includes average base salaries, average total salaries, average employee basic benefits, and retirement benefits.</w:t>
      </w:r>
    </w:p>
    <w:p>
      <w:pPr>
        <w:spacing w:before="0" w:after="0" w:line="408" w:lineRule="exact"/>
        <w:ind w:left="0" w:right="0" w:firstLine="576"/>
        <w:jc w:val="left"/>
      </w:pPr>
      <w:r>
        <w:rPr/>
        <w:t xml:space="preserve">(4) The analysis required under subsection (1) of this section must:</w:t>
      </w:r>
    </w:p>
    <w:p>
      <w:pPr>
        <w:spacing w:before="0" w:after="0" w:line="408" w:lineRule="exact"/>
        <w:ind w:left="0" w:right="0" w:firstLine="576"/>
        <w:jc w:val="left"/>
      </w:pPr>
      <w:r>
        <w:rPr/>
        <w:t xml:space="preserve">(a) Examine salaries and other compensation for teachers, other certificated instructional staff, principals, and other building-level certificated administrators, and the types of classified employees for whom salaries are allocated;</w:t>
      </w:r>
    </w:p>
    <w:p>
      <w:pPr>
        <w:spacing w:before="0" w:after="0" w:line="408" w:lineRule="exact"/>
        <w:ind w:left="0" w:right="0" w:firstLine="576"/>
        <w:jc w:val="left"/>
      </w:pPr>
      <w:r>
        <w:rPr/>
        <w:t xml:space="preserve">(b) Be calculated at a statewide level that identifies labor markets in Washington through the use of data from the United States bureau of the census and the bureau of labor statistics; and</w:t>
      </w:r>
    </w:p>
    <w:p>
      <w:pPr>
        <w:spacing w:before="0" w:after="0" w:line="408" w:lineRule="exact"/>
        <w:ind w:left="0" w:right="0" w:firstLine="576"/>
        <w:jc w:val="left"/>
      </w:pPr>
      <w:r>
        <w:rPr/>
        <w:t xml:space="preserve">(c) Include a comparison of salaries and other compensation to the appropriate labor market for at least the following subgroups of educators: Beginning teachers and types of educational staff associates.</w:t>
      </w:r>
    </w:p>
    <w:p>
      <w:pPr>
        <w:spacing w:before="0" w:after="0" w:line="408" w:lineRule="exact"/>
        <w:ind w:left="0" w:right="0" w:firstLine="576"/>
        <w:jc w:val="left"/>
      </w:pPr>
      <w:r>
        <w:rPr/>
        <w:t xml:space="preserve">(5) The working group shall include representatives of the office of financial management, the professional educator standards board, the office of the superintendent of public instruction, the Washington education association, the Washington association of school administrators, the association of Washington school principals, the Washington state school directors' association, the public school employees of Washington, and other interested stakeholders with appropriate expertise in compensation related matters. The working group may convene advisory subgroups on specific topics as necessary to assure participation and input from a broad array of diverse stakeholders.</w:t>
      </w:r>
    </w:p>
    <w:p>
      <w:pPr>
        <w:spacing w:before="0" w:after="0" w:line="408" w:lineRule="exact"/>
        <w:ind w:left="0" w:right="0" w:firstLine="576"/>
        <w:jc w:val="left"/>
      </w:pPr>
      <w:r>
        <w:rPr/>
        <w:t xml:space="preserve">(6) The working group shall be monitored and overseen by the legislature </w:t>
      </w:r>
      <w:r>
        <w:t>((</w:t>
      </w:r>
      <w:r>
        <w:rPr>
          <w:strike/>
        </w:rPr>
        <w:t xml:space="preserve">and the quality education council created in RCW 28A.290.010</w:t>
      </w:r>
      <w:r>
        <w:t>))</w:t>
      </w:r>
      <w:r>
        <w:rPr/>
        <w:t xml:space="preserve">. The working group shall make an initial report to the legislature by June 30, 2012, and shall include in its report recommendations for whether additional further work of the group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290</w:t>
      </w:r>
      <w:r>
        <w:rPr/>
        <w:t xml:space="preserve">.</w:t>
      </w:r>
      <w:r>
        <w:t xml:space="preserve">010</w:t>
      </w:r>
      <w:r>
        <w:rPr/>
        <w:t xml:space="preserve"> (Quality education council</w:t>
      </w:r>
      <w:r>
        <w:rPr>
          <w:rFonts w:ascii="Times New Roman" w:hAnsi="Times New Roman"/>
        </w:rPr>
        <w:t xml:space="preserve">—</w:t>
      </w:r>
      <w:r>
        <w:rPr/>
        <w:t xml:space="preserve">Purpose</w:t>
      </w:r>
      <w:r>
        <w:rPr>
          <w:rFonts w:ascii="Times New Roman" w:hAnsi="Times New Roman"/>
        </w:rPr>
        <w:t xml:space="preserve">—</w:t>
      </w:r>
      <w:r>
        <w:rPr/>
        <w:t xml:space="preserve">Membership and staffing</w:t>
      </w:r>
      <w:r>
        <w:rPr>
          <w:rFonts w:ascii="Times New Roman" w:hAnsi="Times New Roman"/>
        </w:rPr>
        <w:t xml:space="preserve">—</w:t>
      </w:r>
      <w:r>
        <w:rPr/>
        <w:t xml:space="preserve">Reports) and 2013 2nd sp.s. c 25 s 7 &amp; 2011 1st sp.s. c 21 s 54; and</w:t>
      </w:r>
    </w:p>
    <w:p>
      <w:pPr>
        <w:spacing w:before="0" w:after="0" w:line="408" w:lineRule="exact"/>
        <w:ind w:left="0" w:right="0" w:firstLine="576"/>
        <w:jc w:val="left"/>
      </w:pPr>
      <w:r>
        <w:t>(2)</w:t>
      </w:r>
      <w:r>
        <w:rPr/>
        <w:t xml:space="preserve">RCW </w:t>
      </w:r>
      <w:r>
        <w:t xml:space="preserve">28A</w:t>
      </w:r>
      <w:r>
        <w:rPr/>
        <w:t xml:space="preserve">.</w:t>
      </w:r>
      <w:r>
        <w:t xml:space="preserve">290</w:t>
      </w:r>
      <w:r>
        <w:rPr/>
        <w:t xml:space="preserve">.</w:t>
      </w:r>
      <w:r>
        <w:t xml:space="preserve">020</w:t>
      </w:r>
      <w:r>
        <w:rPr/>
        <w:t xml:space="preserve"> (Funding formulas to support instructional program</w:t>
      </w:r>
      <w:r>
        <w:rPr>
          <w:rFonts w:ascii="Times New Roman" w:hAnsi="Times New Roman"/>
        </w:rPr>
        <w:t xml:space="preserve">—</w:t>
      </w:r>
      <w:r>
        <w:rPr/>
        <w:t xml:space="preserve">Technical working group) and 2010 c 236 s 5 &amp; 2009 c 548 s 112.</w:t>
      </w:r>
    </w:p>
    <w:p/>
    <w:p>
      <w:pPr>
        <w:jc w:val="center"/>
      </w:pPr>
      <w:r>
        <w:rPr>
          <w:b/>
        </w:rPr>
        <w:t>--- END ---</w:t>
      </w:r>
    </w:p>
    <w:sectPr>
      <w:pgNumType w:start="1"/>
      <w:footerReference xmlns:r="http://schemas.openxmlformats.org/officeDocument/2006/relationships" r:id="Rf13eecb776474c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5d409d13b42fe" /><Relationship Type="http://schemas.openxmlformats.org/officeDocument/2006/relationships/footer" Target="/word/footer.xml" Id="Rf13eecb776474c91" /></Relationships>
</file>