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2f316cae4e6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HOUSE BILL 2286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3rd Special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June 29,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89</w:t>
            </w:r>
            <w:r>
              <w:t xml:space="preserve">  Nays </w:t>
              <w:t xml:space="preserve">9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June 30,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44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HOUSE BILL 2286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2286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3rd Special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the treasurer to transfer budget stabilization account deposits that are attributable to extraordinary revenue growth in the 2013-2015, 2015-2017, and 2017-2019 fiscal biennia; adding a new section to chapter 43.79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June 30, 2015, the treasurer shall transfer into the state general fund the entire budget stabilization account deposit for the 2013-2015 fiscal biennium that is attributable to extraordinary revenue growth, not to exceed fifty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During the 2015-2017 fiscal biennium, the treasurer shall transfer into the state general fund the entire budget stabilization account deposit for the 2015-2017 fiscal biennium that is attributable to extraordinary revenue growth, not to exceed seventy-five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During the 2017-2019 fiscal biennium, the treasurer shall transfer into the state general fund the entire budget stabilization account deposit for the 2017-2019 fiscal biennium that is attributable to extraordinary revenue growth, not to exceed five hundred fifty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RCW 43.88.055(4), the transfers in this section do not alter the requirement to balance in ensuing biennia.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a3ddb728f324d1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2286.PL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d7a771494337" /><Relationship Type="http://schemas.openxmlformats.org/officeDocument/2006/relationships/footer" Target="/word/footer.xml" Id="Rda3ddb728f324d12" /></Relationships>
</file>