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94871a0aa40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2280</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2280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2280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2nd Special Session</w:t>
      </w:r>
    </w:p>
    <w:p/>
    <w:p>
      <w:r>
        <w:rPr>
          <w:b/>
        </w:rPr>
        <w:t xml:space="preserve">By </w:t>
      </w:r>
      <w:r>
        <w:t>Representatives Klippert and Hayes</w:t>
      </w:r>
    </w:p>
    <w:p/>
    <w:p>
      <w:r>
        <w:rPr>
          <w:t xml:space="preserve">Prefiled 06/27/15.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felony driving under the influence of intoxicating liquor, marijuana, or any drug a class B felony; amending RCW 46.61.502;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w:t>
      </w:r>
      <w:r>
        <w:rPr>
          <w:strike/>
        </w:rPr>
        <w:t xml:space="preserve">C</w:t>
      </w:r>
      <w:r>
        <w:rPr/>
        <w:t xml:space="preserve">)) </w:t>
      </w:r>
      <w:r>
        <w:rPr>
          <w:u w:val="single"/>
        </w:rPr>
        <w:t xml:space="preserve">B</w:t>
      </w:r>
      <w:r>
        <w:rPr/>
        <w:t xml:space="preserve">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
      <w:pPr>
        <w:jc w:val="center"/>
      </w:pPr>
      <w:r>
        <w:rPr>
          <w:b/>
        </w:rPr>
        <w:t>--- END ---</w:t>
      </w:r>
    </w:p>
    <w:sectPr>
      <w:pgNumType w:start="1"/>
      <w:footerReference xmlns:r="http://schemas.openxmlformats.org/officeDocument/2006/relationships" r:id="R12d63f4aa31442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d9130ec64475e" /><Relationship Type="http://schemas.openxmlformats.org/officeDocument/2006/relationships/footer" Target="/word/footer.xml" Id="R12d63f4aa314421b" /></Relationships>
</file>