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4b8dd0708e4f6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2274</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7, 2016</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2016</w:t>
            </w:r>
          </w:p>
          <w:p>
            <w:pPr>
              <w:ind w:left="0" w:right="0" w:firstLine="360"/>
            </w:pPr>
            <w:r>
              <w:t xml:space="preserve">Yeas </w:t>
              <w:t xml:space="preserve">43</w:t>
            </w:r>
            <w:r>
              <w:t xml:space="preserve">  Nays </w:t>
              <w:t xml:space="preserve">4</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2274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2274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Transportation (originally sponsored by Representatives Harmsworth, Bergquist, Hayes, Morris, Moscoso, Pollet, Vick, Wilson, Van Werven, and Haler)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individuals from reports of sale filed with an incorrect buyer of a subsequently abandoned vehicle; amending RCW 46.12.650, 46.55.105, 19.16.250, and 9.94A.753; and adding a new section to chapter 46.64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650</w:t>
      </w:r>
      <w:r>
        <w:rPr/>
        <w:t xml:space="preserve"> and 2015 3rd sp.s. c 44 s 214 are each amended to read as follows:</w:t>
      </w:r>
    </w:p>
    <w:p>
      <w:pPr>
        <w:spacing w:before="0" w:after="0" w:line="408" w:lineRule="exact"/>
        <w:ind w:left="0" w:right="0" w:firstLine="576"/>
        <w:jc w:val="left"/>
      </w:pPr>
      <w:r>
        <w:rPr/>
        <w:t xml:space="preserve">(1) </w:t>
      </w:r>
      <w:r>
        <w:rPr>
          <w:b/>
        </w:rPr>
        <w:t xml:space="preserve">Releasing interest.</w:t>
      </w:r>
      <w:r>
        <w:rPr/>
        <w:t xml:space="preserve"> An owner releasing interest in a vehicle shall:</w:t>
      </w:r>
    </w:p>
    <w:p>
      <w:pPr>
        <w:spacing w:before="0" w:after="0" w:line="408" w:lineRule="exact"/>
        <w:ind w:left="0" w:right="0" w:firstLine="576"/>
        <w:jc w:val="left"/>
      </w:pPr>
      <w:r>
        <w:rPr/>
        <w:t xml:space="preserve">(a) Sign the release of interest section provided on the certificate of title or on a release of interest document or form approved by the department;</w:t>
      </w:r>
    </w:p>
    <w:p>
      <w:pPr>
        <w:spacing w:before="0" w:after="0" w:line="408" w:lineRule="exact"/>
        <w:ind w:left="0" w:right="0" w:firstLine="576"/>
        <w:jc w:val="left"/>
      </w:pPr>
      <w:r>
        <w:rPr/>
        <w:t xml:space="preserve">(b) Give the certificate of title or most recent evidence of ownership to the person gaining the interest in the vehicle;</w:t>
      </w:r>
    </w:p>
    <w:p>
      <w:pPr>
        <w:spacing w:before="0" w:after="0" w:line="408" w:lineRule="exact"/>
        <w:ind w:left="0" w:right="0" w:firstLine="576"/>
        <w:jc w:val="left"/>
      </w:pPr>
      <w:r>
        <w:rPr/>
        <w:t xml:space="preserve">(c) Give the person gaining interest in the vehicle an odometer disclosure statement if one is required; and</w:t>
      </w:r>
    </w:p>
    <w:p>
      <w:pPr>
        <w:spacing w:before="0" w:after="0" w:line="408" w:lineRule="exact"/>
        <w:ind w:left="0" w:right="0" w:firstLine="576"/>
        <w:jc w:val="left"/>
      </w:pPr>
      <w:r>
        <w:rPr/>
        <w:t xml:space="preserve">(d) Report the vehicle sold as provided in subsection (2) of this section.</w:t>
      </w:r>
    </w:p>
    <w:p>
      <w:pPr>
        <w:spacing w:before="0" w:after="0" w:line="408" w:lineRule="exact"/>
        <w:ind w:left="0" w:right="0" w:firstLine="576"/>
        <w:jc w:val="left"/>
      </w:pPr>
      <w:r>
        <w:rPr/>
        <w:t xml:space="preserve">(2) </w:t>
      </w:r>
      <w:r>
        <w:rPr>
          <w:b/>
        </w:rPr>
        <w:t xml:space="preserve">Report of sale.</w:t>
      </w:r>
      <w:r>
        <w:rPr/>
        <w:t xml:space="preserve"> An owner shall notify the department, county auditor or other agent, or subagent appointed by the director in writing within </w:t>
      </w:r>
      <w:r>
        <w:t>((</w:t>
      </w:r>
      <w:r>
        <w:rPr>
          <w:strike/>
        </w:rPr>
        <w:t xml:space="preserve">twenty-one</w:t>
      </w:r>
      <w:r>
        <w:t>))</w:t>
      </w:r>
      <w:r>
        <w:rPr/>
        <w:t xml:space="preserve"> </w:t>
      </w:r>
      <w:r>
        <w:rPr>
          <w:u w:val="single"/>
        </w:rPr>
        <w:t xml:space="preserve">five</w:t>
      </w:r>
      <w:r>
        <w:rPr/>
        <w:t xml:space="preserve"> business days after a vehicle is or has been:</w:t>
      </w:r>
    </w:p>
    <w:p>
      <w:pPr>
        <w:spacing w:before="0" w:after="0" w:line="408" w:lineRule="exact"/>
        <w:ind w:left="0" w:right="0" w:firstLine="576"/>
        <w:jc w:val="left"/>
      </w:pPr>
      <w:r>
        <w:rPr/>
        <w:t xml:space="preserve">(a) Sold;</w:t>
      </w:r>
    </w:p>
    <w:p>
      <w:pPr>
        <w:spacing w:before="0" w:after="0" w:line="408" w:lineRule="exact"/>
        <w:ind w:left="0" w:right="0" w:firstLine="576"/>
        <w:jc w:val="left"/>
      </w:pPr>
      <w:r>
        <w:rPr/>
        <w:t xml:space="preserve">(b) Given as a gift to another person;</w:t>
      </w:r>
    </w:p>
    <w:p>
      <w:pPr>
        <w:spacing w:before="0" w:after="0" w:line="408" w:lineRule="exact"/>
        <w:ind w:left="0" w:right="0" w:firstLine="576"/>
        <w:jc w:val="left"/>
      </w:pPr>
      <w:r>
        <w:rPr/>
        <w:t xml:space="preserve">(c) Traded, either privately or to a dealership;</w:t>
      </w:r>
    </w:p>
    <w:p>
      <w:pPr>
        <w:spacing w:before="0" w:after="0" w:line="408" w:lineRule="exact"/>
        <w:ind w:left="0" w:right="0" w:firstLine="576"/>
        <w:jc w:val="left"/>
      </w:pPr>
      <w:r>
        <w:rPr/>
        <w:t xml:space="preserve">(d) Donated to charity;</w:t>
      </w:r>
    </w:p>
    <w:p>
      <w:pPr>
        <w:spacing w:before="0" w:after="0" w:line="408" w:lineRule="exact"/>
        <w:ind w:left="0" w:right="0" w:firstLine="576"/>
        <w:jc w:val="left"/>
      </w:pPr>
      <w:r>
        <w:rPr/>
        <w:t xml:space="preserve">(e) Turned over to an insurance company or wrecking yard; or</w:t>
      </w:r>
    </w:p>
    <w:p>
      <w:pPr>
        <w:spacing w:before="0" w:after="0" w:line="408" w:lineRule="exact"/>
        <w:ind w:left="0" w:right="0" w:firstLine="576"/>
        <w:jc w:val="left"/>
      </w:pPr>
      <w:r>
        <w:rPr/>
        <w:t xml:space="preserve">(f) Disposed of.</w:t>
      </w:r>
    </w:p>
    <w:p>
      <w:pPr>
        <w:spacing w:before="0" w:after="0" w:line="408" w:lineRule="exact"/>
        <w:ind w:left="0" w:right="0" w:firstLine="576"/>
        <w:jc w:val="left"/>
      </w:pPr>
      <w:r>
        <w:rPr/>
        <w:t xml:space="preserve">(3) </w:t>
      </w:r>
      <w:r>
        <w:rPr>
          <w:b/>
        </w:rPr>
        <w:t xml:space="preserve">Report of sale properly filed.</w:t>
      </w:r>
      <w:r>
        <w:rPr/>
        <w:t xml:space="preserve"> A report of sale is properly filed if it is received by the department, county auditor or other agent, or subagent appointed by the director within </w:t>
      </w:r>
      <w:r>
        <w:t>((</w:t>
      </w:r>
      <w:r>
        <w:rPr>
          <w:strike/>
        </w:rPr>
        <w:t xml:space="preserve">twenty-one</w:t>
      </w:r>
      <w:r>
        <w:t>))</w:t>
      </w:r>
      <w:r>
        <w:rPr/>
        <w:t xml:space="preserve"> </w:t>
      </w:r>
      <w:r>
        <w:rPr>
          <w:u w:val="single"/>
        </w:rPr>
        <w:t xml:space="preserve">five</w:t>
      </w:r>
      <w:r>
        <w:rPr/>
        <w:t xml:space="preserve"> business days after the date of sale or transfer and it includes:</w:t>
      </w:r>
    </w:p>
    <w:p>
      <w:pPr>
        <w:spacing w:before="0" w:after="0" w:line="408" w:lineRule="exact"/>
        <w:ind w:left="0" w:right="0" w:firstLine="576"/>
        <w:jc w:val="left"/>
      </w:pPr>
      <w:r>
        <w:rPr/>
        <w:t xml:space="preserve">(a) The date of sale or transfer;</w:t>
      </w:r>
    </w:p>
    <w:p>
      <w:pPr>
        <w:spacing w:before="0" w:after="0" w:line="408" w:lineRule="exact"/>
        <w:ind w:left="0" w:right="0" w:firstLine="576"/>
        <w:jc w:val="left"/>
      </w:pPr>
      <w:r>
        <w:rPr/>
        <w:t xml:space="preserve">(b) The owner's </w:t>
      </w:r>
      <w:r>
        <w:rPr>
          <w:u w:val="single"/>
        </w:rPr>
        <w:t xml:space="preserve">full</w:t>
      </w:r>
      <w:r>
        <w:rPr/>
        <w:t xml:space="preserve"> name and </w:t>
      </w:r>
      <w:r>
        <w:rPr>
          <w:u w:val="single"/>
        </w:rPr>
        <w:t xml:space="preserve">complete, current</w:t>
      </w:r>
      <w:r>
        <w:rPr/>
        <w:t xml:space="preserve"> address;</w:t>
      </w:r>
    </w:p>
    <w:p>
      <w:pPr>
        <w:spacing w:before="0" w:after="0" w:line="408" w:lineRule="exact"/>
        <w:ind w:left="0" w:right="0" w:firstLine="576"/>
        <w:jc w:val="left"/>
      </w:pPr>
      <w:r>
        <w:rPr/>
        <w:t xml:space="preserve">(c) The </w:t>
      </w:r>
      <w:r>
        <w:rPr>
          <w:u w:val="single"/>
        </w:rPr>
        <w:t xml:space="preserve">full</w:t>
      </w:r>
      <w:r>
        <w:rPr/>
        <w:t xml:space="preserve"> name and </w:t>
      </w:r>
      <w:r>
        <w:rPr>
          <w:u w:val="single"/>
        </w:rPr>
        <w:t xml:space="preserve">complete, current</w:t>
      </w:r>
      <w:r>
        <w:rPr/>
        <w:t xml:space="preserve"> address of the person acquiring the vehicle</w:t>
      </w:r>
      <w:r>
        <w:rPr>
          <w:u w:val="single"/>
        </w:rPr>
        <w:t xml:space="preserve">, including street name and number, and apartment number if applicable, or post office box number, city or town, and postal code</w:t>
      </w:r>
      <w:r>
        <w:rPr/>
        <w:t xml:space="preserve">;</w:t>
      </w:r>
    </w:p>
    <w:p>
      <w:pPr>
        <w:spacing w:before="0" w:after="0" w:line="408" w:lineRule="exact"/>
        <w:ind w:left="0" w:right="0" w:firstLine="576"/>
        <w:jc w:val="left"/>
      </w:pPr>
      <w:r>
        <w:rPr/>
        <w:t xml:space="preserve">(d) The vehicle identification number and license plate number;</w:t>
      </w:r>
    </w:p>
    <w:p>
      <w:pPr>
        <w:spacing w:before="0" w:after="0" w:line="408" w:lineRule="exact"/>
        <w:ind w:left="0" w:right="0" w:firstLine="576"/>
        <w:jc w:val="left"/>
      </w:pPr>
      <w:r>
        <w:rPr/>
        <w:t xml:space="preserve">(e) A date or stamp by the department showing it was received on or before the </w:t>
      </w:r>
      <w:r>
        <w:t>((</w:t>
      </w:r>
      <w:r>
        <w:rPr>
          <w:strike/>
        </w:rPr>
        <w:t xml:space="preserve">twenty-first</w:t>
      </w:r>
      <w:r>
        <w:t>))</w:t>
      </w:r>
      <w:r>
        <w:rPr/>
        <w:t xml:space="preserve"> </w:t>
      </w:r>
      <w:r>
        <w:rPr>
          <w:u w:val="single"/>
        </w:rPr>
        <w:t xml:space="preserve">fifth</w:t>
      </w:r>
      <w:r>
        <w:rPr/>
        <w:t xml:space="preserve"> business day after the date of sale or transfer; and</w:t>
      </w:r>
    </w:p>
    <w:p>
      <w:pPr>
        <w:spacing w:before="0" w:after="0" w:line="408" w:lineRule="exact"/>
        <w:ind w:left="0" w:right="0" w:firstLine="576"/>
        <w:jc w:val="left"/>
      </w:pPr>
      <w:r>
        <w:rPr/>
        <w:t xml:space="preserve">(f) Payment of the fees required under RCW 46.17.050.</w:t>
      </w:r>
    </w:p>
    <w:p>
      <w:pPr>
        <w:spacing w:before="0" w:after="0" w:line="408" w:lineRule="exact"/>
        <w:ind w:left="0" w:right="0" w:firstLine="576"/>
        <w:jc w:val="left"/>
      </w:pPr>
      <w:r>
        <w:rPr/>
        <w:t xml:space="preserve">(4) </w:t>
      </w:r>
      <w:r>
        <w:rPr>
          <w:b/>
        </w:rPr>
        <w:t xml:space="preserve">Report of sale - administration.</w:t>
      </w:r>
      <w:r>
        <w:rPr/>
        <w:t xml:space="preserve"> (a) The department shall:</w:t>
      </w:r>
    </w:p>
    <w:p>
      <w:pPr>
        <w:spacing w:before="0" w:after="0" w:line="408" w:lineRule="exact"/>
        <w:ind w:left="0" w:right="0" w:firstLine="576"/>
        <w:jc w:val="left"/>
      </w:pPr>
      <w:r>
        <w:rPr/>
        <w:t xml:space="preserve">(i) Provide or approve reports of sale forms;</w:t>
      </w:r>
    </w:p>
    <w:p>
      <w:pPr>
        <w:spacing w:before="0" w:after="0" w:line="408" w:lineRule="exact"/>
        <w:ind w:left="0" w:right="0" w:firstLine="576"/>
        <w:jc w:val="left"/>
      </w:pPr>
      <w:r>
        <w:rPr/>
        <w:t xml:space="preserve">(ii) Provide a system enabling an owner to submit reports of sale electronically;</w:t>
      </w:r>
    </w:p>
    <w:p>
      <w:pPr>
        <w:spacing w:before="0" w:after="0" w:line="408" w:lineRule="exact"/>
        <w:ind w:left="0" w:right="0" w:firstLine="576"/>
        <w:jc w:val="left"/>
      </w:pPr>
      <w:r>
        <w:rPr/>
        <w:t xml:space="preserve">(iii) Immediately update the department's vehicle record when a report of sale has been filed;</w:t>
      </w:r>
    </w:p>
    <w:p>
      <w:pPr>
        <w:spacing w:before="0" w:after="0" w:line="408" w:lineRule="exact"/>
        <w:ind w:left="0" w:right="0" w:firstLine="576"/>
        <w:jc w:val="left"/>
      </w:pPr>
      <w:r>
        <w:rPr/>
        <w:t xml:space="preserve">(iv) Provide instructions on release of interest forms that allow the seller of a vehicle to release their interest in a vehicle at the same time a financial institution, as defined in RCW 30A.22.040, releases its lien on the vehicle; and</w:t>
      </w:r>
    </w:p>
    <w:p>
      <w:pPr>
        <w:spacing w:before="0" w:after="0" w:line="408" w:lineRule="exact"/>
        <w:ind w:left="0" w:right="0" w:firstLine="576"/>
        <w:jc w:val="left"/>
      </w:pPr>
      <w:r>
        <w:rPr/>
        <w:t xml:space="preserve">(v) Send a report to the department of revenue that lists vehicles for which a report of sale has been received but no transfer of ownership has taken place. The department shall send the report once each quarter.</w:t>
      </w:r>
    </w:p>
    <w:p>
      <w:pPr>
        <w:spacing w:before="0" w:after="0" w:line="408" w:lineRule="exact"/>
        <w:ind w:left="0" w:right="0" w:firstLine="576"/>
        <w:jc w:val="left"/>
      </w:pPr>
      <w:r>
        <w:rPr/>
        <w:t xml:space="preserve">(b) </w:t>
      </w:r>
      <w:r>
        <w:t>((</w:t>
      </w:r>
      <w:r>
        <w:rPr>
          <w:strike/>
        </w:rPr>
        <w:t xml:space="preserve">A report of sale that is received by the department, county auditor or other agent, or subagent appointed by the director after the twenty-first day becomes effective on the day it is received by the department, county auditor or other agent, or subagent appointed by the director.</w:t>
      </w:r>
      <w:r>
        <w:t>))</w:t>
      </w:r>
      <w:r>
        <w:rPr/>
        <w:t xml:space="preserve"> </w:t>
      </w:r>
      <w:r>
        <w:rPr>
          <w:u w:val="single"/>
        </w:rPr>
        <w:t xml:space="preserve">A report of sale is not proof of a completed vehicle transfer for purposes of the collection of expenses related to towing, storage, and auction of an abandoned vehicle in situations where there is no evidence indicating the buyer knew of or was a party to acceptance of the vehicle transfer. A contract signed by the prior owner and the new owner, a certificate of title, a receipt, a purchase order or wholesale order, or other legal proof or record of acceptance of the vehicle by the new owner may be provided to establish legal responsibility for the abandoned vehicle.</w:t>
      </w:r>
    </w:p>
    <w:p>
      <w:pPr>
        <w:spacing w:before="0" w:after="0" w:line="408" w:lineRule="exact"/>
        <w:ind w:left="0" w:right="0" w:firstLine="576"/>
        <w:jc w:val="left"/>
      </w:pPr>
      <w:r>
        <w:rPr/>
        <w:t xml:space="preserve">(5)(a) </w:t>
      </w:r>
      <w:r>
        <w:rPr>
          <w:b/>
        </w:rPr>
        <w:t xml:space="preserve">Transferring ownership.</w:t>
      </w:r>
      <w:r>
        <w:rPr/>
        <w:t xml:space="preserve"> A person who has recently acquired a vehicle by purchase, exchange, gift, lease, inheritance, or legal action shall apply to the department, county auditor or other agent, or subagent appointed by the director for a new certificate of title within fifteen days of delivery of the vehicle. A secured party who has possession of the certificate of title shall either:</w:t>
      </w:r>
    </w:p>
    <w:p>
      <w:pPr>
        <w:spacing w:before="0" w:after="0" w:line="408" w:lineRule="exact"/>
        <w:ind w:left="0" w:right="0" w:firstLine="576"/>
        <w:jc w:val="left"/>
      </w:pPr>
      <w:r>
        <w:rPr/>
        <w:t xml:space="preserve">(i) Apply for a new certificate of title on behalf of the owner and pay the fee required under RCW 46.17.100; or</w:t>
      </w:r>
    </w:p>
    <w:p>
      <w:pPr>
        <w:spacing w:before="0" w:after="0" w:line="408" w:lineRule="exact"/>
        <w:ind w:left="0" w:right="0" w:firstLine="576"/>
        <w:jc w:val="left"/>
      </w:pPr>
      <w:r>
        <w:rPr/>
        <w:t xml:space="preserve">(ii) Provide all required documents to the owner, as long as the transfer was not a breach of its security agreement, to allow the owner to apply for a new certificate of title.</w:t>
      </w:r>
    </w:p>
    <w:p>
      <w:pPr>
        <w:spacing w:before="0" w:after="0" w:line="408" w:lineRule="exact"/>
        <w:ind w:left="0" w:right="0" w:firstLine="576"/>
        <w:jc w:val="left"/>
      </w:pPr>
      <w:r>
        <w:rPr/>
        <w:t xml:space="preserve">(b) Compliance with this subsection does not affect the rights of the secured party.</w:t>
      </w:r>
    </w:p>
    <w:p>
      <w:pPr>
        <w:spacing w:before="0" w:after="0" w:line="408" w:lineRule="exact"/>
        <w:ind w:left="0" w:right="0" w:firstLine="576"/>
        <w:jc w:val="left"/>
      </w:pPr>
      <w:r>
        <w:rPr/>
        <w:t xml:space="preserve">(6) </w:t>
      </w:r>
      <w:r>
        <w:rPr>
          <w:b/>
        </w:rPr>
        <w:t xml:space="preserve">Certificate of title delivered to secured party.</w:t>
      </w:r>
      <w:r>
        <w:rPr/>
        <w:t xml:space="preserve"> The certificate of title must be kept by or delivered to the person who becomes the secured party when a security interest is reserved or created at the time of the transfer of ownership. The parties must comply with RCW 46.12.675.</w:t>
      </w:r>
    </w:p>
    <w:p>
      <w:pPr>
        <w:spacing w:before="0" w:after="0" w:line="408" w:lineRule="exact"/>
        <w:ind w:left="0" w:right="0" w:firstLine="576"/>
        <w:jc w:val="left"/>
      </w:pPr>
      <w:r>
        <w:rPr/>
        <w:t xml:space="preserve">(7) </w:t>
      </w:r>
      <w:r>
        <w:rPr>
          <w:b/>
        </w:rPr>
        <w:t xml:space="preserve">Penalty for late transfer.</w:t>
      </w:r>
      <w:r>
        <w:rPr/>
        <w:t xml:space="preserve"> A person who has recently acquired a motor vehicle by purchase, exchange, gift, lease, inheritance, or legal action who does not apply for a new certificate of title within fifteen calendar days of delivery of the vehicle is charged a penalty, as described in RCW 46.17.140, when applying for a new certificate of title. It is a misdemeanor to fail or neglect to apply for a transfer of ownership within forty-five days after delivery of the vehicle. The misdemeanor is a single continuing offense for each day that passes regardless of the number of days that have elapsed following the forty-five day time period.</w:t>
      </w:r>
    </w:p>
    <w:p>
      <w:pPr>
        <w:spacing w:before="0" w:after="0" w:line="408" w:lineRule="exact"/>
        <w:ind w:left="0" w:right="0" w:firstLine="576"/>
        <w:jc w:val="left"/>
      </w:pPr>
      <w:r>
        <w:rPr/>
        <w:t xml:space="preserve">(8) </w:t>
      </w:r>
      <w:r>
        <w:rPr>
          <w:b/>
        </w:rPr>
        <w:t xml:space="preserve">Penalty for late transfer - exceptions.</w:t>
      </w:r>
      <w:r>
        <w:rPr/>
        <w:t xml:space="preserve"> The penalty is not charged if the delay in application is due to at least one of the following:</w:t>
      </w:r>
    </w:p>
    <w:p>
      <w:pPr>
        <w:spacing w:before="0" w:after="0" w:line="408" w:lineRule="exact"/>
        <w:ind w:left="0" w:right="0" w:firstLine="576"/>
        <w:jc w:val="left"/>
      </w:pPr>
      <w:r>
        <w:rPr/>
        <w:t xml:space="preserve">(a) The department requests additional supporting documents;</w:t>
      </w:r>
    </w:p>
    <w:p>
      <w:pPr>
        <w:spacing w:before="0" w:after="0" w:line="408" w:lineRule="exact"/>
        <w:ind w:left="0" w:right="0" w:firstLine="576"/>
        <w:jc w:val="left"/>
      </w:pPr>
      <w:r>
        <w:rPr/>
        <w:t xml:space="preserve">(b) The department, county auditor or other agent, or subagent fails to perform or is neglectful;</w:t>
      </w:r>
    </w:p>
    <w:p>
      <w:pPr>
        <w:spacing w:before="0" w:after="0" w:line="408" w:lineRule="exact"/>
        <w:ind w:left="0" w:right="0" w:firstLine="576"/>
        <w:jc w:val="left"/>
      </w:pPr>
      <w:r>
        <w:rPr/>
        <w:t xml:space="preserve">(c) The owner is prevented from applying due to an illness or extended hospitalization;</w:t>
      </w:r>
    </w:p>
    <w:p>
      <w:pPr>
        <w:spacing w:before="0" w:after="0" w:line="408" w:lineRule="exact"/>
        <w:ind w:left="0" w:right="0" w:firstLine="576"/>
        <w:jc w:val="left"/>
      </w:pPr>
      <w:r>
        <w:rPr/>
        <w:t xml:space="preserve">(d) The legal owner fails or neglects to release interest;</w:t>
      </w:r>
    </w:p>
    <w:p>
      <w:pPr>
        <w:spacing w:before="0" w:after="0" w:line="408" w:lineRule="exact"/>
        <w:ind w:left="0" w:right="0" w:firstLine="576"/>
        <w:jc w:val="left"/>
      </w:pPr>
      <w:r>
        <w:rPr/>
        <w:t xml:space="preserve">(e) The owner did not know of the filing of a report of sale by the previous owner and signs an affidavit to the fact; or</w:t>
      </w:r>
    </w:p>
    <w:p>
      <w:pPr>
        <w:spacing w:before="0" w:after="0" w:line="408" w:lineRule="exact"/>
        <w:ind w:left="0" w:right="0" w:firstLine="576"/>
        <w:jc w:val="left"/>
      </w:pPr>
      <w:r>
        <w:rPr/>
        <w:t xml:space="preserve">(f) The department finds other conditions exist that adequately explain the delay.</w:t>
      </w:r>
    </w:p>
    <w:p>
      <w:pPr>
        <w:spacing w:before="0" w:after="0" w:line="408" w:lineRule="exact"/>
        <w:ind w:left="0" w:right="0" w:firstLine="576"/>
        <w:jc w:val="left"/>
      </w:pPr>
      <w:r>
        <w:rPr/>
        <w:t xml:space="preserve">(9) </w:t>
      </w:r>
      <w:r>
        <w:rPr>
          <w:b/>
        </w:rPr>
        <w:t xml:space="preserve">Review and issue.</w:t>
      </w:r>
      <w:r>
        <w:rPr/>
        <w:t xml:space="preserve"> The department shall review applications for certificates of title and issue certificates of title when it has determined that all applicable provisions of law have been complied with.</w:t>
      </w:r>
    </w:p>
    <w:p>
      <w:pPr>
        <w:spacing w:before="0" w:after="0" w:line="408" w:lineRule="exact"/>
        <w:ind w:left="0" w:right="0" w:firstLine="576"/>
        <w:jc w:val="left"/>
      </w:pPr>
      <w:r>
        <w:rPr/>
        <w:t xml:space="preserve">(10) </w:t>
      </w:r>
      <w:r>
        <w:rPr>
          <w:b/>
        </w:rPr>
        <w:t xml:space="preserve">Rules.</w:t>
      </w:r>
      <w:r>
        <w:rPr/>
        <w:t xml:space="preserve"> The department may adopt rules as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105</w:t>
      </w:r>
      <w:r>
        <w:rPr/>
        <w:t xml:space="preserve"> and 2010 c 161 s 1119 are each amended to read as follows:</w:t>
      </w:r>
    </w:p>
    <w:p>
      <w:pPr>
        <w:spacing w:before="0" w:after="0" w:line="408" w:lineRule="exact"/>
        <w:ind w:left="0" w:right="0" w:firstLine="576"/>
        <w:jc w:val="left"/>
      </w:pPr>
      <w:r>
        <w:rPr/>
        <w:t xml:space="preserve">(1) </w:t>
      </w:r>
      <w:r>
        <w:rPr>
          <w:u w:val="single"/>
        </w:rPr>
        <w:t xml:space="preserve">Except as provided in subsection (4) of this section, t</w:t>
      </w:r>
      <w:r>
        <w:rPr/>
        <w:t xml:space="preserve">he abandonment of any vehicle creates a prima facie presumption that the last registered owner of record is responsible for the abandonment and is liable for costs incurred in removing, storing, and disposing of the abandoned vehicle, less amounts realized at auction.</w:t>
      </w:r>
    </w:p>
    <w:p>
      <w:pPr>
        <w:spacing w:before="0" w:after="0" w:line="408" w:lineRule="exact"/>
        <w:ind w:left="0" w:right="0" w:firstLine="576"/>
        <w:jc w:val="left"/>
      </w:pPr>
      <w:r>
        <w:rPr/>
        <w:t xml:space="preserve">(2) If an unauthorized vehicle is found abandoned under subsection (1) of this section and removed at the direction of law enforcement, the last registered owner of record is guilty of the traffic infraction of "littering</w:t>
      </w:r>
      <w:r>
        <w:rPr>
          <w:rFonts w:ascii="Times New Roman" w:hAnsi="Times New Roman"/>
        </w:rPr>
        <w:t xml:space="preserve">—</w:t>
      </w:r>
      <w:r>
        <w:rPr/>
        <w:t xml:space="preserve">abandoned vehicle," unless the vehicle is redeemed as provided in RCW 46.55.120. In addition to any other monetary penalty payable under chapter 46.63 RCW, the court shall not consider all monetary penalties as having been paid until the court is satisfied that the person found to have committed the infraction has made restitution in the amount of the deficiency remaining after disposal of the vehicle under RCW 46.55.140.</w:t>
      </w:r>
    </w:p>
    <w:p>
      <w:pPr>
        <w:spacing w:before="0" w:after="0" w:line="408" w:lineRule="exact"/>
        <w:ind w:left="0" w:right="0" w:firstLine="576"/>
        <w:jc w:val="left"/>
      </w:pPr>
      <w:r>
        <w:rPr/>
        <w:t xml:space="preserve">(3) A vehicle theft report filed with a law enforcement agency relieves the last registered owner of liability under subsection (2) of this section for failure to redeem the vehicle. However, the last registered owner remains liable for the costs incurred in removing, storing, and disposing of the abandoned vehicle under subsection (1) of this section. Nothing in this section limits in any way the registered owner's rights in a civil action or as restitution in a criminal action against a person responsible for the theft of the vehicle.</w:t>
      </w:r>
    </w:p>
    <w:p>
      <w:pPr>
        <w:spacing w:before="0" w:after="0" w:line="408" w:lineRule="exact"/>
        <w:ind w:left="0" w:right="0" w:firstLine="576"/>
        <w:jc w:val="left"/>
      </w:pPr>
      <w:r>
        <w:rPr/>
        <w:t xml:space="preserve">(4) Properly filing a report of sale or transfer regarding the vehicle involved in accordance with RCW 46.12.650 (1) through (3) relieves the last registered owner of liability under subsections (1) and (2) of this section. </w:t>
      </w:r>
      <w:r>
        <w:rPr>
          <w:u w:val="single"/>
        </w:rPr>
        <w:t xml:space="preserve">However, if there is a reason to believe that a report of sale has been filed in which the reported buyer did not know of the alleged transfer or did not accept the vehicle transfer, the liability remains with the last registered owner to prove the vehicle transfer was made pursuant to a legal transfer or accepted by the person reported as the new owner on the report of sale.</w:t>
      </w:r>
      <w:r>
        <w:rPr/>
        <w:t xml:space="preserve"> If the date of sale as indicated on the report of sale is </w:t>
      </w:r>
      <w:r>
        <w:t>((</w:t>
      </w:r>
      <w:r>
        <w:rPr>
          <w:strike/>
        </w:rPr>
        <w:t xml:space="preserve">on or</w:t>
      </w:r>
      <w:r>
        <w:t>))</w:t>
      </w:r>
      <w:r>
        <w:rPr/>
        <w:t xml:space="preserve"> before the date of impoundment, the buyer identified on the latest properly filed report of sale with the department is assumed liable for the costs incurred in removing, storing, and disposing of the abandoned vehicle, less amounts realized at auction. If the date of sale is after the date of impoundment, the previous registered owner is assumed to be liable for such costs. A licensed vehicle dealer is not liable under subsections (1) and (2) of this section if the dealer, as transferee or assignee of the last registered owner of the vehicle involved, has complied with the requirements of RCW 46.70.122 upon selling or otherwise disposing of the vehicle, or if the dealer has timely filed a transitional ownership record or report of sale under RCW 46.12.660. In that case the person to whom the licensed vehicle dealer has sold or transferred the vehicle is assumed liable for the costs incurred in removing, storing, and disposing of the abandoned vehicle, less amounts realized at auction.</w:t>
      </w:r>
    </w:p>
    <w:p>
      <w:pPr>
        <w:spacing w:before="0" w:after="0" w:line="408" w:lineRule="exact"/>
        <w:ind w:left="0" w:right="0" w:firstLine="576"/>
        <w:jc w:val="left"/>
      </w:pPr>
      <w:r>
        <w:rPr/>
        <w:t xml:space="preserve">(5) For the purposes of reporting notices of traffic infraction to the department under RCW 46.20.270 and 46.52.101, and for purposes of reporting notices of failure to appear, respond, or comply regarding a notice of traffic infraction to the department under RCW 46.63.070(6), a traffic infraction under subsection (2) of this section is not considered to be a standing, stopping, or parking violation.</w:t>
      </w:r>
    </w:p>
    <w:p>
      <w:pPr>
        <w:spacing w:before="0" w:after="0" w:line="408" w:lineRule="exact"/>
        <w:ind w:left="0" w:right="0" w:firstLine="576"/>
        <w:jc w:val="left"/>
      </w:pPr>
      <w:r>
        <w:rPr/>
        <w:t xml:space="preserve">(6) A notice of infraction for a violation of this section may be filed with a court of limited jurisdiction organized under Title 3, 35, or 35A RCW, or with a violations bureau subject to the court's jurisdiction.</w:t>
      </w:r>
    </w:p>
    <w:p>
      <w:pPr>
        <w:spacing w:before="0" w:after="0" w:line="408" w:lineRule="exact"/>
        <w:ind w:left="0" w:right="0" w:firstLine="576"/>
        <w:jc w:val="left"/>
      </w:pPr>
      <w:r>
        <w:rPr>
          <w:u w:val="single"/>
        </w:rPr>
        <w:t xml:space="preserve">(7)(a) A person named as a buyer in a report of sale filed under RCW 46.12.650(3) in which there was no acceptance of the transfer has a cause of action against the person who filed the report to recover costs associated with towing, storage, auction, or any other damages incurred as a result of being named as the buyer in the report of sale, including reasonable attorneys' fees and litigation costs. The cause of action provided in this subsection (7)(a) is in addition to any other remedy available to the person at law or in equity.</w:t>
      </w:r>
    </w:p>
    <w:p>
      <w:pPr>
        <w:spacing w:before="0" w:after="0" w:line="408" w:lineRule="exact"/>
        <w:ind w:left="0" w:right="0" w:firstLine="576"/>
        <w:jc w:val="left"/>
      </w:pPr>
      <w:r>
        <w:rPr>
          <w:u w:val="single"/>
        </w:rPr>
        <w:t xml:space="preserve">(b) A person named as a seller in a report of sale filed under RCW 46.12.650(3) in which the named buyer falsely alleges that there was no acceptance of the transfer has a cause of action against the named buyer to recover damages incurred as a result of the allegation, including reasonable attorneys' fees and litigation costs. The cause of action in this subsection (7)(b) is in addition to any other remedy available to the person at law or in equity.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If a court has declared that a fraudulent report of sale has been filed with the department, county auditor or other agent, or subagent appointed by the director, the court must notify the department in writing with a copy of the court order. Once notified, the department may remove the fraudulent report of sale from the vehicle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250</w:t>
      </w:r>
      <w:r>
        <w:rPr/>
        <w:t xml:space="preserve"> and 2013 c 148 s 2 are each amended to read as follows:</w:t>
      </w:r>
    </w:p>
    <w:p>
      <w:pPr>
        <w:spacing w:before="0" w:after="0" w:line="408" w:lineRule="exact"/>
        <w:ind w:left="0" w:right="0" w:firstLine="576"/>
        <w:jc w:val="left"/>
      </w:pPr>
      <w:r>
        <w:rPr/>
        <w:t xml:space="preserve">No licensee or employee of a licensee shall:</w:t>
      </w:r>
    </w:p>
    <w:p>
      <w:pPr>
        <w:spacing w:before="0" w:after="0" w:line="408" w:lineRule="exact"/>
        <w:ind w:left="0" w:right="0" w:firstLine="576"/>
        <w:jc w:val="left"/>
      </w:pPr>
      <w:r>
        <w:rPr/>
        <w:t xml:space="preserve">(1) Directly or indirectly aid or abet any unlicensed person to engage in business as a collection agency in this state or receive compensation from such unlicensed person: PROVIDED, That nothing in this chapter shall prevent a licensee from accepting, as forwardee, claims for collection from a collection agency or attorney whose place of business is outside the state.</w:t>
      </w:r>
    </w:p>
    <w:p>
      <w:pPr>
        <w:spacing w:before="0" w:after="0" w:line="408" w:lineRule="exact"/>
        <w:ind w:left="0" w:right="0" w:firstLine="576"/>
        <w:jc w:val="left"/>
      </w:pPr>
      <w:r>
        <w:rPr/>
        <w:t xml:space="preserve">(2) Collect or attempt to collect a claim by the use of any means contrary to the postal laws and regulations of the United States postal department.</w:t>
      </w:r>
    </w:p>
    <w:p>
      <w:pPr>
        <w:spacing w:before="0" w:after="0" w:line="408" w:lineRule="exact"/>
        <w:ind w:left="0" w:right="0" w:firstLine="576"/>
        <w:jc w:val="left"/>
      </w:pPr>
      <w:r>
        <w:rPr/>
        <w:t xml:space="preserve">(3) Publish or post or cause to be published or posted, any list of debtors commonly known as "bad debt lists" or threaten to do so. For purposes of this chapter, a "bad debt list" means any list of natural persons alleged to fail to honor their lawful debts. However, nothing herein shall be construed to prohibit a licensee from communicating to its customers or clients by means of a coded list, the existence of a check dishonored because of insufficient funds, not sufficient funds or closed account by the financial institution servicing the debtor's checking account: PROVIDED, That the debtor's identity is not readily apparent: PROVIDED FURTHER, That the licensee complies with the requirements of subsection (10)(e) of this section.</w:t>
      </w:r>
    </w:p>
    <w:p>
      <w:pPr>
        <w:spacing w:before="0" w:after="0" w:line="408" w:lineRule="exact"/>
        <w:ind w:left="0" w:right="0" w:firstLine="576"/>
        <w:jc w:val="left"/>
      </w:pPr>
      <w:r>
        <w:rPr/>
        <w:t xml:space="preserve">(4) Have in his or her possession or make use of any badge, use a uniform of any law enforcement agency or any simulation thereof, or make any statements which might be construed as indicating an official connection with any federal, state, county, or city law enforcement agency, or any other governmental agency, while engaged in collection agency business.</w:t>
      </w:r>
    </w:p>
    <w:p>
      <w:pPr>
        <w:spacing w:before="0" w:after="0" w:line="408" w:lineRule="exact"/>
        <w:ind w:left="0" w:right="0" w:firstLine="576"/>
        <w:jc w:val="left"/>
      </w:pPr>
      <w:r>
        <w:rPr/>
        <w:t xml:space="preserve">(5) Perform any act or acts, either directly or indirectly, constituting the unauthorized practice of law.</w:t>
      </w:r>
    </w:p>
    <w:p>
      <w:pPr>
        <w:spacing w:before="0" w:after="0" w:line="408" w:lineRule="exact"/>
        <w:ind w:left="0" w:right="0" w:firstLine="576"/>
        <w:jc w:val="left"/>
      </w:pPr>
      <w:r>
        <w:rPr/>
        <w:t xml:space="preserve">(6) Advertise for sale or threaten to advertise for sale any claim as a means of endeavoring to enforce payment thereof or agreeing to do so for the purpose of soliciting claims, except where the licensee has acquired claims as an assignee for the benefit of creditors or where the licensee is acting under court order.</w:t>
      </w:r>
    </w:p>
    <w:p>
      <w:pPr>
        <w:spacing w:before="0" w:after="0" w:line="408" w:lineRule="exact"/>
        <w:ind w:left="0" w:right="0" w:firstLine="576"/>
        <w:jc w:val="left"/>
      </w:pPr>
      <w:r>
        <w:rPr/>
        <w:t xml:space="preserve">(7) Use any name while engaged in the making of a demand for any claim other than the name set forth on his or her or its current license issued hereunder.</w:t>
      </w:r>
    </w:p>
    <w:p>
      <w:pPr>
        <w:spacing w:before="0" w:after="0" w:line="408" w:lineRule="exact"/>
        <w:ind w:left="0" w:right="0" w:firstLine="576"/>
        <w:jc w:val="left"/>
      </w:pPr>
      <w:r>
        <w:rPr/>
        <w:t xml:space="preserve">(8) Give or send to any debtor or cause to be given or sent to any debtor, any notice, letter, message, or form, other than through proper legal action, process, or proceedings, which represents or implies that a claim exists unless it shall indicate in clear and legible type:</w:t>
      </w:r>
    </w:p>
    <w:p>
      <w:pPr>
        <w:spacing w:before="0" w:after="0" w:line="408" w:lineRule="exact"/>
        <w:ind w:left="0" w:right="0" w:firstLine="576"/>
        <w:jc w:val="left"/>
      </w:pPr>
      <w:r>
        <w:rPr/>
        <w:t xml:space="preserve">(a) The name of the licensee and the city, street, and number at which he or she is licensed to do business;</w:t>
      </w:r>
    </w:p>
    <w:p>
      <w:pPr>
        <w:spacing w:before="0" w:after="0" w:line="408" w:lineRule="exact"/>
        <w:ind w:left="0" w:right="0" w:firstLine="576"/>
        <w:jc w:val="left"/>
      </w:pPr>
      <w:r>
        <w:rPr/>
        <w:t xml:space="preserve">(b) The name of the original creditor to whom the debtor owed the claim if such name is known to the licensee or employee: PROVIDED, That upon written request of the debtor, the licensee shall provide this name to the debtor or cease efforts to collect on the debt until this information is provided;</w:t>
      </w:r>
    </w:p>
    <w:p>
      <w:pPr>
        <w:spacing w:before="0" w:after="0" w:line="408" w:lineRule="exact"/>
        <w:ind w:left="0" w:right="0" w:firstLine="576"/>
        <w:jc w:val="left"/>
      </w:pPr>
      <w:r>
        <w:rPr/>
        <w:t xml:space="preserve">(c) If the notice, letter, message, or form is the first notice to the debtor or if the licensee is attempting to collect a different amount than indicated in his or her or its first notice to the debtor, an itemization of the claim asserted must be made including:</w:t>
      </w:r>
    </w:p>
    <w:p>
      <w:pPr>
        <w:spacing w:before="0" w:after="0" w:line="408" w:lineRule="exact"/>
        <w:ind w:left="0" w:right="0" w:firstLine="576"/>
        <w:jc w:val="left"/>
      </w:pPr>
      <w:r>
        <w:rPr/>
        <w:t xml:space="preserve">(i) Amount owing on the original obligation at the time it was received by the licensee for collection or by assignment;</w:t>
      </w:r>
    </w:p>
    <w:p>
      <w:pPr>
        <w:spacing w:before="0" w:after="0" w:line="408" w:lineRule="exact"/>
        <w:ind w:left="0" w:right="0" w:firstLine="576"/>
        <w:jc w:val="left"/>
      </w:pPr>
      <w:r>
        <w:rPr/>
        <w:t xml:space="preserve">(ii) Interest or service charge, collection costs, or late payment charges, if any, added to the original obligation by the original creditor, customer or assignor before it was received by the licensee for collection, if such information is known by the licensee or employee: PROVIDED, That upon written request of the debtor, the licensee shall make a reasonable effort to obtain information on such items and provide this information to the debtor;</w:t>
      </w:r>
    </w:p>
    <w:p>
      <w:pPr>
        <w:spacing w:before="0" w:after="0" w:line="408" w:lineRule="exact"/>
        <w:ind w:left="0" w:right="0" w:firstLine="576"/>
        <w:jc w:val="left"/>
      </w:pPr>
      <w:r>
        <w:rPr/>
        <w:t xml:space="preserve">(iii) Interest or service charge, if any, added by the licensee or customer or assignor after the obligation was received by the licensee for collection;</w:t>
      </w:r>
    </w:p>
    <w:p>
      <w:pPr>
        <w:spacing w:before="0" w:after="0" w:line="408" w:lineRule="exact"/>
        <w:ind w:left="0" w:right="0" w:firstLine="576"/>
        <w:jc w:val="left"/>
      </w:pPr>
      <w:r>
        <w:rPr/>
        <w:t xml:space="preserve">(iv) Collection costs, if any, that the licensee is attempting to collect;</w:t>
      </w:r>
    </w:p>
    <w:p>
      <w:pPr>
        <w:spacing w:before="0" w:after="0" w:line="408" w:lineRule="exact"/>
        <w:ind w:left="0" w:right="0" w:firstLine="576"/>
        <w:jc w:val="left"/>
      </w:pPr>
      <w:r>
        <w:rPr/>
        <w:t xml:space="preserve">(v) Attorneys' fees, if any, that the licensee is attempting to collect on his or her or its behalf or on the behalf of a customer or assignor; and</w:t>
      </w:r>
    </w:p>
    <w:p>
      <w:pPr>
        <w:spacing w:before="0" w:after="0" w:line="408" w:lineRule="exact"/>
        <w:ind w:left="0" w:right="0" w:firstLine="576"/>
        <w:jc w:val="left"/>
      </w:pPr>
      <w:r>
        <w:rPr/>
        <w:t xml:space="preserve">(vi) Any other charge or fee that the licensee is attempting to collect on his or her or its own behalf or on the behalf of a customer or assignor;</w:t>
      </w:r>
    </w:p>
    <w:p>
      <w:pPr>
        <w:spacing w:before="0" w:after="0" w:line="408" w:lineRule="exact"/>
        <w:ind w:left="0" w:right="0" w:firstLine="576"/>
        <w:jc w:val="left"/>
      </w:pPr>
      <w:r>
        <w:rPr/>
        <w:t xml:space="preserve">(d) If the notice, letter, message, or form concerns a judgment obtained against the debtor, no itemization of the amounts contained in the judgment is required, except postjudgment interest, if claimed, and the current account balance;</w:t>
      </w:r>
    </w:p>
    <w:p>
      <w:pPr>
        <w:spacing w:before="0" w:after="0" w:line="408" w:lineRule="exact"/>
        <w:ind w:left="0" w:right="0" w:firstLine="576"/>
        <w:jc w:val="left"/>
      </w:pPr>
      <w:r>
        <w:rPr/>
        <w:t xml:space="preserve">(e) If the notice, letter, message, or form is the first notice to the debtor, an itemization of the claim asserted must be made including the following information:</w:t>
      </w:r>
    </w:p>
    <w:p>
      <w:pPr>
        <w:spacing w:before="0" w:after="0" w:line="408" w:lineRule="exact"/>
        <w:ind w:left="0" w:right="0" w:firstLine="576"/>
        <w:jc w:val="left"/>
      </w:pPr>
      <w:r>
        <w:rPr/>
        <w:t xml:space="preserve">(i) The original account number or redacted original account number assigned to the debt, if known to the licensee or employee: PROVIDED, That upon written request of the debtor, the licensee must make a reasonable effort to obtain this information or cease efforts to collect on the debt until this information is provided; and</w:t>
      </w:r>
    </w:p>
    <w:p>
      <w:pPr>
        <w:spacing w:before="0" w:after="0" w:line="408" w:lineRule="exact"/>
        <w:ind w:left="0" w:right="0" w:firstLine="576"/>
        <w:jc w:val="left"/>
      </w:pPr>
      <w:r>
        <w:rPr/>
        <w:t xml:space="preserve">(ii) The date of the last payment to the creditor on the subject debt by the debtor, if known to the licensee or employee: PROVIDED, That upon written request of the debtor, the licensee must make a reasonable effort to obtain this information or cease efforts to collect on the debt until this information is provided.</w:t>
      </w:r>
    </w:p>
    <w:p>
      <w:pPr>
        <w:spacing w:before="0" w:after="0" w:line="408" w:lineRule="exact"/>
        <w:ind w:left="0" w:right="0" w:firstLine="576"/>
        <w:jc w:val="left"/>
      </w:pPr>
      <w:r>
        <w:rPr/>
        <w:t xml:space="preserve">(9) Communicate in writing with a debtor concerning a claim through a proper legal action, process, or proceeding, where such communication is the first written communication with the debtor, without providing the information set forth in subsection (8)(c) of this section in the written communication.</w:t>
      </w:r>
    </w:p>
    <w:p>
      <w:pPr>
        <w:spacing w:before="0" w:after="0" w:line="408" w:lineRule="exact"/>
        <w:ind w:left="0" w:right="0" w:firstLine="576"/>
        <w:jc w:val="left"/>
      </w:pPr>
      <w:r>
        <w:rPr/>
        <w:t xml:space="preserve">(10) Communicate or threaten to communicate, the existence of a claim to a person other than one who might be reasonably expected to be liable on the claim in any manner other than through proper legal action, process, or proceedings except under the following conditions:</w:t>
      </w:r>
    </w:p>
    <w:p>
      <w:pPr>
        <w:spacing w:before="0" w:after="0" w:line="408" w:lineRule="exact"/>
        <w:ind w:left="0" w:right="0" w:firstLine="576"/>
        <w:jc w:val="left"/>
      </w:pPr>
      <w:r>
        <w:rPr/>
        <w:t xml:space="preserve">(a) A licensee or employee of a licensee may inform a credit reporting bureau of the existence of a claim. If the licensee or employee of a licensee reports a claim to a credit reporting bureau, the licensee shall, upon receipt of written notice from the debtor that any part of the claim is disputed, notify the credit reporting bureau of the dispute by written or electronic means and create a record of the fact of the notification and when the notification was provided;</w:t>
      </w:r>
    </w:p>
    <w:p>
      <w:pPr>
        <w:spacing w:before="0" w:after="0" w:line="408" w:lineRule="exact"/>
        <w:ind w:left="0" w:right="0" w:firstLine="576"/>
        <w:jc w:val="left"/>
      </w:pPr>
      <w:r>
        <w:rPr/>
        <w:t xml:space="preserve">(b) A licensee or employee in collecting or attempting to collect a claim may communicate the existence of a claim to a debtor's employer if the claim has been reduced to a judgment;</w:t>
      </w:r>
    </w:p>
    <w:p>
      <w:pPr>
        <w:spacing w:before="0" w:after="0" w:line="408" w:lineRule="exact"/>
        <w:ind w:left="0" w:right="0" w:firstLine="576"/>
        <w:jc w:val="left"/>
      </w:pPr>
      <w:r>
        <w:rPr/>
        <w:t xml:space="preserve">(c) A licensee or employee in collecting or attempting to collect a claim that has not been reduced to judgment, may communicate the existence of a claim to a debtor's employer if:</w:t>
      </w:r>
    </w:p>
    <w:p>
      <w:pPr>
        <w:spacing w:before="0" w:after="0" w:line="408" w:lineRule="exact"/>
        <w:ind w:left="0" w:right="0" w:firstLine="576"/>
        <w:jc w:val="left"/>
      </w:pPr>
      <w:r>
        <w:rPr/>
        <w:t xml:space="preserve">(i) The licensee or employee has notified or attempted to notify the debtor in writing at his or her last known address or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to the licensee disputed any part of the claim: PROVIDED, That the licensee or employee may only communicate the existence of a claim which has not been reduced to judgment to the debtor's employer once unless the debtor's employer has agreed to additional communications.</w:t>
      </w:r>
    </w:p>
    <w:p>
      <w:pPr>
        <w:spacing w:before="0" w:after="0" w:line="408" w:lineRule="exact"/>
        <w:ind w:left="0" w:right="0" w:firstLine="576"/>
        <w:jc w:val="left"/>
      </w:pPr>
      <w:r>
        <w:rPr/>
        <w:t xml:space="preserve">(d) A licensee may for the purpose of locating the debtor or locating assets of the debtor communicate the existence of a claim to any person who might reasonably be expected to have knowledge of the whereabouts of a debtor or the location of assets of the debtor if the claim is reduced to judgment, or if not reduced to judgment, when:</w:t>
      </w:r>
    </w:p>
    <w:p>
      <w:pPr>
        <w:spacing w:before="0" w:after="0" w:line="408" w:lineRule="exact"/>
        <w:ind w:left="0" w:right="0" w:firstLine="576"/>
        <w:jc w:val="left"/>
      </w:pPr>
      <w:r>
        <w:rPr/>
        <w:t xml:space="preserve">(i) The licensee or employee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(e) A licensee may communicate the existence of a claim to its customers or clients if the claim is reduced to judgment, or if not reduced to judgment, when:</w:t>
      </w:r>
    </w:p>
    <w:p>
      <w:pPr>
        <w:spacing w:before="0" w:after="0" w:line="408" w:lineRule="exact"/>
        <w:ind w:left="0" w:right="0" w:firstLine="576"/>
        <w:jc w:val="left"/>
      </w:pPr>
      <w:r>
        <w:rPr/>
        <w:t xml:space="preserve">(i) The licensee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(11) Threaten the debtor with impairment of his or her credit rating if a claim is not paid: PROVIDED, That advising a debtor that the licensee has reported or intends to report a claim to a credit reporting agency is not considered a threat if the licensee actually has reported or intends to report the claim to a credit reporting agency.</w:t>
      </w:r>
    </w:p>
    <w:p>
      <w:pPr>
        <w:spacing w:before="0" w:after="0" w:line="408" w:lineRule="exact"/>
        <w:ind w:left="0" w:right="0" w:firstLine="576"/>
        <w:jc w:val="left"/>
      </w:pPr>
      <w:r>
        <w:rPr/>
        <w:t xml:space="preserve">(12) Communicate with the debtor after notification in writing from an attorney representing such debtor that all further communications relative to a claim should be addressed to the attorney: PROVIDED, That if a licensee requests in writing information from an attorney regarding such claim and the attorney does not respond within a reasonable time, the licensee may communicate directly with the debtor until he or she or it again receives notification in writing that an attorney is representing the debtor.</w:t>
      </w:r>
    </w:p>
    <w:p>
      <w:pPr>
        <w:spacing w:before="0" w:after="0" w:line="408" w:lineRule="exact"/>
        <w:ind w:left="0" w:right="0" w:firstLine="576"/>
        <w:jc w:val="left"/>
      </w:pPr>
      <w:r>
        <w:rPr/>
        <w:t xml:space="preserve">(13) Communicate with a debtor or anyone else in such a manner as to harass, intimidate, threaten, or embarrass a debtor, including but not limited to communication at an unreasonable hour, with unreasonable frequency, by threats of force or violence, by threats of criminal prosecution, and by use of offensive language. A communication shall be presumed to have been made for the purposes of harassment if:</w:t>
      </w:r>
    </w:p>
    <w:p>
      <w:pPr>
        <w:spacing w:before="0" w:after="0" w:line="408" w:lineRule="exact"/>
        <w:ind w:left="0" w:right="0" w:firstLine="576"/>
        <w:jc w:val="left"/>
      </w:pPr>
      <w:r>
        <w:rPr/>
        <w:t xml:space="preserve">(a) It is made with a debtor or spouse in any form, manner, or place, more than three times in a single week, unless the licensee is responding to a communication from the debtor or spouse;</w:t>
      </w:r>
    </w:p>
    <w:p>
      <w:pPr>
        <w:spacing w:before="0" w:after="0" w:line="408" w:lineRule="exact"/>
        <w:ind w:left="0" w:right="0" w:firstLine="576"/>
        <w:jc w:val="left"/>
      </w:pPr>
      <w:r>
        <w:rPr/>
        <w:t xml:space="preserve">(b) It is made with a debtor at his or her place of employment more than one time in a single week, unless the licensee is responding to a communication from the debtor;</w:t>
      </w:r>
    </w:p>
    <w:p>
      <w:pPr>
        <w:spacing w:before="0" w:after="0" w:line="408" w:lineRule="exact"/>
        <w:ind w:left="0" w:right="0" w:firstLine="576"/>
        <w:jc w:val="left"/>
      </w:pPr>
      <w:r>
        <w:rPr/>
        <w:t xml:space="preserve">(c) It is made with the debtor or spouse at his or her place of residence between the hours of 9:00 p.m. and 7:30 a.m. A call to a telephone is presumed to be received in the local time zone to which the area code of the number called is assigned for landline numbers, unless the licensee reasonably believes the telephone is located in a different time zone. If the area code is not assigned to landlines in any specific geographic area, such as with toll</w:t>
      </w:r>
      <w:r>
        <w:rPr/>
        <w:noBreakHyphen/>
      </w:r>
      <w:r>
        <w:rPr/>
        <w:t xml:space="preserve">free telephone numbers, a call to a telephone is presumed to be received in the local time zone of the debtor's last known place of residence, unless the licensee reasonably believes the telephone is located in a different time zone.</w:t>
      </w:r>
    </w:p>
    <w:p>
      <w:pPr>
        <w:spacing w:before="0" w:after="0" w:line="408" w:lineRule="exact"/>
        <w:ind w:left="0" w:right="0" w:firstLine="576"/>
        <w:jc w:val="left"/>
      </w:pPr>
      <w:r>
        <w:rPr/>
        <w:t xml:space="preserve">(14) Communicate with the debtor through use of forms or instruments that simulate the form or appearance of judicial process, the form or appearance of government documents, or the simulation of a form or appearance of a telegraphic or emergency message.</w:t>
      </w:r>
    </w:p>
    <w:p>
      <w:pPr>
        <w:spacing w:before="0" w:after="0" w:line="408" w:lineRule="exact"/>
        <w:ind w:left="0" w:right="0" w:firstLine="576"/>
        <w:jc w:val="left"/>
      </w:pPr>
      <w:r>
        <w:rPr/>
        <w:t xml:space="preserve">(15) Communicate with the debtor and represent or imply that the existing obligation of the debtor may be or has been increased by the addition of attorney fees, investigation fees, service fees, or any other fees or charges when in fact such fees or charges may not legally be added to the existing obligation of such debtor.</w:t>
      </w:r>
    </w:p>
    <w:p>
      <w:pPr>
        <w:spacing w:before="0" w:after="0" w:line="408" w:lineRule="exact"/>
        <w:ind w:left="0" w:right="0" w:firstLine="576"/>
        <w:jc w:val="left"/>
      </w:pPr>
      <w:r>
        <w:rPr/>
        <w:t xml:space="preserve">(16) Threaten to take any action against the debtor which the licensee cannot legally take at the time the threat is made.</w:t>
      </w:r>
    </w:p>
    <w:p>
      <w:pPr>
        <w:spacing w:before="0" w:after="0" w:line="408" w:lineRule="exact"/>
        <w:ind w:left="0" w:right="0" w:firstLine="576"/>
        <w:jc w:val="left"/>
      </w:pPr>
      <w:r>
        <w:rPr/>
        <w:t xml:space="preserve">(17) Send any telegram or make any telephone calls to a debtor or concerning a debt or for the purpose of demanding payment of a claim or seeking information about a debtor, for which the charges are payable by the addressee or by the person to whom the call is made: PROVIDED, That:</w:t>
      </w:r>
    </w:p>
    <w:p>
      <w:pPr>
        <w:spacing w:before="0" w:after="0" w:line="408" w:lineRule="exact"/>
        <w:ind w:left="0" w:right="0" w:firstLine="576"/>
        <w:jc w:val="left"/>
      </w:pPr>
      <w:r>
        <w:rPr/>
        <w:t xml:space="preserve">(a) This subsection does not prohibit a licensee from attempting to communicate by way of a cellular telephone or other wireless device: PROVIDED, That a licensee cannot cause charges to be incurred to the recipient of the attempted communication more than three times in any calendar week when the licensee knows or reasonably should know that the number belongs to a cellular telephone or other wireless device, unless the licensee is responding to a communication from the debtor or the person to whom the call is made.</w:t>
      </w:r>
    </w:p>
    <w:p>
      <w:pPr>
        <w:spacing w:before="0" w:after="0" w:line="408" w:lineRule="exact"/>
        <w:ind w:left="0" w:right="0" w:firstLine="576"/>
        <w:jc w:val="left"/>
      </w:pPr>
      <w:r>
        <w:rPr/>
        <w:t xml:space="preserve">(b) The licensee is not in violation of (a)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w:t>
      </w:r>
    </w:p>
    <w:p>
      <w:pPr>
        <w:spacing w:before="0" w:after="0" w:line="408" w:lineRule="exact"/>
        <w:ind w:left="0" w:right="0" w:firstLine="576"/>
        <w:jc w:val="left"/>
      </w:pPr>
      <w:r>
        <w:rPr/>
        <w:t xml:space="preserve">(c) This subsection may not be construed to increase the number of communications permitted pursuant to subsection (13)(a) of this section.</w:t>
      </w:r>
    </w:p>
    <w:p>
      <w:pPr>
        <w:spacing w:before="0" w:after="0" w:line="408" w:lineRule="exact"/>
        <w:ind w:left="0" w:right="0" w:firstLine="576"/>
        <w:jc w:val="left"/>
      </w:pPr>
      <w:r>
        <w:rPr/>
        <w:t xml:space="preserve">(18) Call, or send a text message or other electronic communication to, a cellular telephone or other wireless device more than twice in any day when the licensee knows or reasonably should know that the number belongs to a cellular telephone or other wireless device, unless the licensee is responding to a communication from the debtor or the person to whom the call, text message, or other electronic communication is made. The licensee is not in violation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 Nothing in this subsection may be construed to increase the number of communications permitted pursuant to subsection (13)(a) of this section.</w:t>
      </w:r>
    </w:p>
    <w:p>
      <w:pPr>
        <w:spacing w:before="0" w:after="0" w:line="408" w:lineRule="exact"/>
        <w:ind w:left="0" w:right="0" w:firstLine="576"/>
        <w:jc w:val="left"/>
      </w:pPr>
      <w:r>
        <w:rPr/>
        <w:t xml:space="preserve">(19) Intentionally block its telephone number from displaying on a debtor's telephone.</w:t>
      </w:r>
    </w:p>
    <w:p>
      <w:pPr>
        <w:spacing w:before="0" w:after="0" w:line="408" w:lineRule="exact"/>
        <w:ind w:left="0" w:right="0" w:firstLine="576"/>
        <w:jc w:val="left"/>
      </w:pPr>
      <w:r>
        <w:rPr/>
        <w:t xml:space="preserve">(20) In any manner convey the impression that the licensee is vouched for, bonded to or by, or is an instrumentality of the state of Washington or any agency or department thereof.</w:t>
      </w:r>
    </w:p>
    <w:p>
      <w:pPr>
        <w:spacing w:before="0" w:after="0" w:line="408" w:lineRule="exact"/>
        <w:ind w:left="0" w:right="0" w:firstLine="576"/>
        <w:jc w:val="left"/>
      </w:pPr>
      <w:r>
        <w:rPr/>
        <w:t xml:space="preserve">(21) Collect or attempt to collect in addition to the principal amount of a claim any sum other than allowable interest, collection costs or handling fees expressly authorized by statute, and, in the case of suit, attorney's fees and taxable court costs. A licensee may collect or attempt to collect collection costs and fees, including contingent collection fees, as authorized by a written agreement or contract, between the licensee's client and the debtor, in the collection of a commercial claim. The amount charged to the debtor for collection services shall not exceed thirty-five percent of the commercial claim.</w:t>
      </w:r>
    </w:p>
    <w:p>
      <w:pPr>
        <w:spacing w:before="0" w:after="0" w:line="408" w:lineRule="exact"/>
        <w:ind w:left="0" w:right="0" w:firstLine="576"/>
        <w:jc w:val="left"/>
      </w:pPr>
      <w:r>
        <w:rPr/>
        <w:t xml:space="preserve">(22) Procure from a debtor or collect or attempt to collect on any written note, contract, stipulation, promise or acknowledgment under which a debtor may be required to pay any sum other than principal, allowable interest, except as noted in subsection (21) of this section, and, in the case of suit, attorney's fees and taxable court costs.</w:t>
      </w:r>
    </w:p>
    <w:p>
      <w:pPr>
        <w:spacing w:before="0" w:after="0" w:line="408" w:lineRule="exact"/>
        <w:ind w:left="0" w:right="0" w:firstLine="576"/>
        <w:jc w:val="left"/>
      </w:pPr>
      <w:r>
        <w:rPr/>
        <w:t xml:space="preserve">(23) Bring an action or initiate an arbitration proceeding on a claim when the licensee knows, or reasonably should know, that such suit or arbitration is barred by the applicable statute of limitations.</w:t>
      </w:r>
    </w:p>
    <w:p>
      <w:pPr>
        <w:spacing w:before="0" w:after="0" w:line="408" w:lineRule="exact"/>
        <w:ind w:left="0" w:right="0" w:firstLine="576"/>
        <w:jc w:val="left"/>
      </w:pPr>
      <w:r>
        <w:rPr/>
        <w:t xml:space="preserve">(24) Upon notification by a debtor that the debtor disputes all debts arising from a series of dishonored checks, automated clearinghouse transactions on a demand deposit account, or other preprinted written instruments, initiate oral contact with a debtor more than one time in an attempt to collect from the debtor debts arising from the identified series of dishonored checks, automated clearinghouse transactions on a demand deposit account, or other preprinted written instruments when: (a) Within the previous one hundred eighty days, in response to the licensee's attempt to collect the initial debt assigned to the licensee and arising from the identified series of dishonored checks, automated clearinghouse transactions on a demand deposit account, or other preprinted written instruments, the debtor in writing notified the licensee that the debtor's checkbook or other series of preprinted written instruments was stolen or fraudulently created; (b) the licensee has received from the debtor a certified copy of a police report referencing the theft or fraudulent creation of the checkbook, automated clearinghouse transactions on a demand deposit account, or series of preprinted written instruments; (c) in the written notification to the licensee or in the police report, the debtor identified the financial institution where the account was maintained, the account number, the magnetic ink character recognition number, the full bank routing and transit number, and the check numbers of the stolen checks, automated clearinghouse transactions on a demand deposit account, or other preprinted written instruments, which check numbers included the number of the check that is the subject of the licensee's collection efforts; (d) the debtor provides, or within the previous one hundred eighty days provided, to the licensee a legible copy of a government-issued photo identification, which contains the debtor's signature and which was issued prior to the date of the theft or fraud identified in the police report; and (e) the debtor advised the licensee that the subject debt is disputed because the identified check, automated clearinghouse transaction on a demand deposit account, or other preprinted written instrument underlying the debt is a stolen or fraudulently created check or instrument.</w:t>
      </w:r>
    </w:p>
    <w:p>
      <w:pPr>
        <w:spacing w:before="0" w:after="0" w:line="408" w:lineRule="exact"/>
        <w:ind w:left="0" w:right="0" w:firstLine="576"/>
        <w:jc w:val="left"/>
      </w:pPr>
      <w:r>
        <w:rPr/>
        <w:t xml:space="preserve">The licensee is not in violation of this subsection if the licensee initiates oral contact with the debtor more than one time in an attempt to collect debts arising from the identified series of dishonored checks, automated clearinghouse transactions on a demand deposit account, or other preprinted written instruments when: (i) The licensee acted in good faith and relied on their established practices and procedures for batching, recording, or packeting debtor accounts, and the licensee inadvertently initiates oral contact with the debtor in an attempt to collect debts in the identified series subsequent to the initial debt assigned to the licensee; (ii) the licensee is following up on collection of a debt assigned to the licensee, and the debtor has previously requested more information from the licensee regarding the subject debt; (iii) the debtor has notified the licensee that the debtor disputes only some, but not all the debts arising from the identified series of dishonored checks, automated clearinghouse transactions on a demand deposit account, or other preprinted written instruments, in which case the licensee shall be allowed to initiate oral contact with the debtor one time for each debt arising from the series of identified checks, automated clearinghouse transactions on a demand deposit account, or written instruments and initiate additional oral contact for those debts that the debtor acknowledges do not arise from stolen or fraudulently created checks or written instruments; (iv) the oral contact is in the context of a judicial, administrative, arbitration, mediation, or similar proceeding; or (v) the oral contact is made for the purpose of investigating, confirming, or authenticating the information received from the debtor, to provide additional information to the debtor, or to request additional information from the debtor needed by the licensee to accurately record the debtor's information in the licensee's records.</w:t>
      </w:r>
    </w:p>
    <w:p>
      <w:pPr>
        <w:spacing w:before="0" w:after="0" w:line="408" w:lineRule="exact"/>
        <w:ind w:left="0" w:right="0" w:firstLine="576"/>
        <w:jc w:val="left"/>
      </w:pPr>
      <w:r>
        <w:rPr/>
        <w:t xml:space="preserve">(25) </w:t>
      </w:r>
      <w:r>
        <w:rPr>
          <w:u w:val="single"/>
        </w:rPr>
        <w:t xml:space="preserve">Bring an action or initiate an arbitration proceeding on a claim for any amounts related to a transfer of sale of a vehicle when:</w:t>
      </w:r>
    </w:p>
    <w:p>
      <w:pPr>
        <w:spacing w:before="0" w:after="0" w:line="408" w:lineRule="exact"/>
        <w:ind w:left="0" w:right="0" w:firstLine="576"/>
        <w:jc w:val="left"/>
      </w:pPr>
      <w:r>
        <w:rPr>
          <w:u w:val="single"/>
        </w:rPr>
        <w:t xml:space="preserve">(a) The licensee has been informed or reasonably should know that the department of licensing transfer of sale form was filed in accordance with RCW 46.12.650 (1) through (3);</w:t>
      </w:r>
    </w:p>
    <w:p>
      <w:pPr>
        <w:spacing w:before="0" w:after="0" w:line="408" w:lineRule="exact"/>
        <w:ind w:left="0" w:right="0" w:firstLine="576"/>
        <w:jc w:val="left"/>
      </w:pPr>
      <w:r>
        <w:rPr>
          <w:u w:val="single"/>
        </w:rPr>
        <w:t xml:space="preserve">(b) The licensee has been informed or reasonably should know that the transfer of the vehicle either (i) was not made pursuant to a legal transfer or (ii) was not voluntarily accepted by the person designated as the purchaser/transferee; and</w:t>
      </w:r>
    </w:p>
    <w:p>
      <w:pPr>
        <w:spacing w:before="0" w:after="0" w:line="408" w:lineRule="exact"/>
        <w:ind w:left="0" w:right="0" w:firstLine="576"/>
        <w:jc w:val="left"/>
      </w:pPr>
      <w:r>
        <w:rPr>
          <w:u w:val="single"/>
        </w:rPr>
        <w:t xml:space="preserve">(c) Prior to the commencement of the action or arbitration, the licensee has received from the putative transferee a copy of a police report referencing that the transfer of sale of the vehicle either (i) was not made pursuant to a legal transfer or (ii) was not voluntarily accepted by the person designated as the purchaser/transferee.</w:t>
      </w:r>
    </w:p>
    <w:p>
      <w:pPr>
        <w:spacing w:before="0" w:after="0" w:line="408" w:lineRule="exact"/>
        <w:ind w:left="0" w:right="0" w:firstLine="576"/>
        <w:jc w:val="left"/>
      </w:pPr>
      <w:r>
        <w:rPr>
          <w:u w:val="single"/>
        </w:rPr>
        <w:t xml:space="preserve">(26)</w:t>
      </w:r>
      <w:r>
        <w:rPr/>
        <w:t xml:space="preserve"> Submit an affidavit or other request pursuant to chapter 6.32 RCW asking a superior or district court to transfer a bond posted by a debtor subject to a money judgment to the licensee, when the debtor has appeared as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753</w:t>
      </w:r>
      <w:r>
        <w:rPr/>
        <w:t xml:space="preserve"> and 2003 c 379 s 16 are each amended to read as follows:</w:t>
      </w:r>
    </w:p>
    <w:p>
      <w:pPr>
        <w:spacing w:before="0" w:after="0" w:line="408" w:lineRule="exact"/>
        <w:ind w:left="0" w:right="0" w:firstLine="576"/>
        <w:jc w:val="left"/>
      </w:pPr>
      <w:r>
        <w:rPr/>
        <w:t xml:space="preserve">This section applies to offenses committed after July 1, 1985.</w:t>
      </w:r>
    </w:p>
    <w:p>
      <w:pPr>
        <w:spacing w:before="0" w:after="0" w:line="408" w:lineRule="exact"/>
        <w:ind w:left="0" w:right="0" w:firstLine="576"/>
        <w:jc w:val="left"/>
      </w:pPr>
      <w:r>
        <w:rPr/>
        <w:t xml:space="preserve">(1) When restitution is ordered, the court shall determine the amount of restitution due at the sentencing hearing or within one hundred eighty days except as provided in subsection (7) of this section. The court may continue the hearing beyond the one hundred eighty days for good cause. The court shall then set a minimum monthly payment that the offender is required to make towards the restitution that is ordered. The court should take into consideration the total amount of the restitution owed, the offender's present, past, and future ability to pay, as well as any assets that the offender may have.</w:t>
      </w:r>
    </w:p>
    <w:p>
      <w:pPr>
        <w:spacing w:before="0" w:after="0" w:line="408" w:lineRule="exact"/>
        <w:ind w:left="0" w:right="0" w:firstLine="576"/>
        <w:jc w:val="left"/>
      </w:pPr>
      <w:r>
        <w:rPr/>
        <w:t xml:space="preserve">(2) During the period of supervision, the community corrections officer may examine the offender to determine if there has been a change in circumstances that warrants an amendment of the monthly payment schedule. The community corrections officer may recommend a change to the schedule of payment and shall inform the court of the recommended change and the reasons for the change. The sentencing court may then reset the monthly minimum payments based on the report from the community corrections officer of the change in circumstances.</w:t>
      </w:r>
    </w:p>
    <w:p>
      <w:pPr>
        <w:spacing w:before="0" w:after="0" w:line="408" w:lineRule="exact"/>
        <w:ind w:left="0" w:right="0" w:firstLine="576"/>
        <w:jc w:val="left"/>
      </w:pPr>
      <w:r>
        <w:rPr/>
        <w:t xml:space="preserve">(3) Except as provided in subsection (6) of this section, restitution ordered by a court pursuant to a criminal conviction shall be based on easily ascertainable damages for injury to or loss of property, actual expenses incurred for treatment for injury to persons, and lost wages resulting from injury. Restitution shall not include reimbursement for damages for mental anguish, pain and suffering, or other intangible losses, but may include the costs of counseling reasonably related to the offense. The amount of restitution shall not exceed double the amount of the offender's gain or the victim's loss from the commission of the crime.</w:t>
      </w:r>
    </w:p>
    <w:p>
      <w:pPr>
        <w:spacing w:before="0" w:after="0" w:line="408" w:lineRule="exact"/>
        <w:ind w:left="0" w:right="0" w:firstLine="576"/>
        <w:jc w:val="left"/>
      </w:pPr>
      <w:r>
        <w:rPr/>
        <w:t xml:space="preserve">(4) For the purposes of this section, for an offense committed prior to July 1, 2000, the offender shall remain under the court's jurisdiction for a term of ten years following the offender's release from total confinement or ten years subsequent to the entry of the judgment and sentence, whichever period ends later. Prior to the expiration of the initial ten-year period, the superior court may extend jurisdiction under the criminal judgment an additional ten years for payment of restitution. For an offense committed on or after July 1, 2000, the offender shall remain under the court's jurisdiction until the obligation is completely satisfied, regardless of the statutory maximum for the crime. The portion of the sentence concerning restitution may be modified as to amount, terms, and conditions during any period of time the offender remains under the court's jurisdiction, regardless of the expiration of the offender's term of community supervision and regardless of the statutory maximum sentence for the crime. The court may not reduce the total amount of restitution ordered because the offender may lack the ability to pay the total amount. The offender's compliance with the restitution shall be supervised by the department only during any period which the department is authorized to supervise the offender in the community under RCW 9.94A.728, 9.94A.501, or in which the offender is in confinement in a state correctional institution or a correctional facility pursuant to a transfer agreement with the department, and the department shall supervise the offender's compliance during any such period. The department is responsible for supervision of the offender only during confinement and authorized supervision and not during any subsequent period in which the offender remains under the court's jurisdiction. The county clerk is authorized to collect unpaid restitution at any time the offender remains under the jurisdiction of the court for purposes of his or her legal financial obligations.</w:t>
      </w:r>
    </w:p>
    <w:p>
      <w:pPr>
        <w:spacing w:before="0" w:after="0" w:line="408" w:lineRule="exact"/>
        <w:ind w:left="0" w:right="0" w:firstLine="576"/>
        <w:jc w:val="left"/>
      </w:pPr>
      <w:r>
        <w:rPr/>
        <w:t xml:space="preserve">(5) Restitution shall be ordered whenever the offender is convicted of an offense which results in injury to any person or damage to or loss of property or as provided in subsection (6) of this section unless extraordinary circumstances exist which make restitution inappropriate in the court's judgment and the court sets forth such circumstances in the record. In addition, restitution shall be ordered to pay for an injury, loss, or damage if the offender pleads guilty to a lesser offense or fewer offenses and agrees with the prosecutor's recommendation that the offender be required to pay restitution to a victim of an offense or offenses which are not prosecuted pursuant to a plea agreement.</w:t>
      </w:r>
    </w:p>
    <w:p>
      <w:pPr>
        <w:spacing w:before="0" w:after="0" w:line="408" w:lineRule="exact"/>
        <w:ind w:left="0" w:right="0" w:firstLine="576"/>
        <w:jc w:val="left"/>
      </w:pPr>
      <w:r>
        <w:rPr/>
        <w:t xml:space="preserve">(6) Restitution for the crime of rape of a child in the first, second, or third degree, in which the victim becomes pregnant, shall include: (a) All of the victim's medical expenses that are associated with the rape and resulting pregnancy; and (b) child support for any child born as a result of the rape if child support is ordered pursuant to a civil superior court or administrative order for support for that child. The clerk must forward any restitution payments made on behalf of the victim's child to the Washington state child support registry under chapter 26.23 RCW. Identifying information about the victim and child shall not be included in the order. The offender shall receive a credit against any obligation owing under the administrative or superior court order for support of the victim's child. For the purposes of this subsection, the offender shall remain under the court's jurisdiction until the offender has satisfied support obligations under the superior court or administrative order for the period provided in RCW 4.16.020 or a maximum term of twenty-five years following the offender's release from total confinement or twenty-five years subsequent to the entry of the judgment and sentence, whichever period is longer. The court may not reduce the total amount of restitution ordered because the offender may lack the ability to pay the total amount. The department shall supervise the offender's compliance with the restitution ordered under this subsection.</w:t>
      </w:r>
    </w:p>
    <w:p>
      <w:pPr>
        <w:spacing w:before="0" w:after="0" w:line="408" w:lineRule="exact"/>
        <w:ind w:left="0" w:right="0" w:firstLine="576"/>
        <w:jc w:val="left"/>
      </w:pPr>
      <w:r>
        <w:rPr/>
        <w:t xml:space="preserve">(7) Regardless of the provisions of subsections (1) through (6) of this section, the court shall order restitution in all cases where the victim is entitled to benefits under the crime victims' compensation act, chapter 7.68 RCW. If the court does not order restitution and the victim of the crime has been determined to be entitled to benefits under the crime victims' compensation act, the department of labor and industries, as administrator of the crime victims' compensation program, may petition the court within one year of entry of the judgment and sentence for entry of a restitution order. Upon receipt of a petition from the department of labor and industries, the court shall hold a restitution hearing and shall enter a restitution order.</w:t>
      </w:r>
    </w:p>
    <w:p>
      <w:pPr>
        <w:spacing w:before="0" w:after="0" w:line="408" w:lineRule="exact"/>
        <w:ind w:left="0" w:right="0" w:firstLine="576"/>
        <w:jc w:val="left"/>
      </w:pPr>
      <w:r>
        <w:rPr/>
        <w:t xml:space="preserve">(8) In addition to any sentence that may be imposed, an offender who has been found guilty of an offense involving fraud or other deceptive practice or an organization which has been found guilty of any such offense may be ordered by the sentencing court to give notice of the conviction to the class of persons or to the sector of the public affected by the conviction or financially interested in the subject matter of the offense by mail, by advertising in designated areas or through designated media, or by other appropriate means.</w:t>
      </w:r>
    </w:p>
    <w:p>
      <w:pPr>
        <w:spacing w:before="0" w:after="0" w:line="408" w:lineRule="exact"/>
        <w:ind w:left="0" w:right="0" w:firstLine="576"/>
        <w:jc w:val="left"/>
      </w:pPr>
      <w:r>
        <w:rPr/>
        <w:t xml:space="preserve">(9) This section does not limit civil remedies or defenses available to the victim, survivors of the victim, or offender including support enforcement remedies for support ordered under subsection (6) of this section for a child born as a result of a rape of a child victim. The court shall identify in the judgment and sentence the victim or victims entitled to restitution and what amount is due each victim. The state or victim may enforce the court-ordered restitution in the same manner as a judgment in a civil action. Restitution collected through civil enforcement must be paid through the registry of the court and must be distributed proportionately according to each victim's loss when there is more than one victim.</w:t>
      </w:r>
    </w:p>
    <w:p>
      <w:pPr>
        <w:spacing w:before="0" w:after="0" w:line="408" w:lineRule="exact"/>
        <w:ind w:left="0" w:right="0" w:firstLine="576"/>
        <w:jc w:val="left"/>
      </w:pPr>
      <w:r>
        <w:rPr>
          <w:u w:val="single"/>
        </w:rPr>
        <w:t xml:space="preserve">(10) If a person has caused a victim to lose money or property through the filing of a vehicle report of sale in which the designated buyer had no knowledge of the vehicle transfer or the fraudulent filing of the report of sale, upon conviction or when the offender pleads guilty and agrees with the prosecutor's recommendation that the offender be required to pay restitution to a victim, the court may order the defendant to pay an amount, fixed by the court, not to exceed double the amount of the defendant's gain or victim's loss from the filing of the vehicle report of sale in which the designated buyer had no knowledge of the vehicle transfer or the fraudulent filing of the report of sale. Such an amount may be used to provide restitution to the victim at the order of the court. It is the duty of the prosecuting attorney to investigate the alternative of restitution, and to recommend it to the court, when the prosecuting attorney believes that restitution is appropriate and feasible. If the court orders restitution, the court must make a finding as to the amount of the victim's loss due to the filing of the report of sale in which the designated buyer had no knowledge of the vehicle transfer or the fraudulent filing of the report of sale, and if the record does not contain sufficient evidence to support such finding, the court may conduct a hearing upon the issue. For purposes of this section, "loss" refers to the amount of money or the value of property or services lost.</w:t>
      </w:r>
    </w:p>
    <w:p/>
    <w:p>
      <w:pPr>
        <w:jc w:val="center"/>
      </w:pPr>
      <w:r>
        <w:rPr>
          <w:b/>
        </w:rPr>
        <w:t>--- END ---</w:t>
      </w:r>
    </w:p>
    <w:sectPr>
      <w:pgNumType w:start="1"/>
      <w:footerReference xmlns:r="http://schemas.openxmlformats.org/officeDocument/2006/relationships" r:id="R53a9a2a00ecb4f9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2274.PL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caf6114df34c18" /><Relationship Type="http://schemas.openxmlformats.org/officeDocument/2006/relationships/footer" Target="/word/footer.xml" Id="R53a9a2a00ecb4f9e" /></Relationships>
</file>