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a0c3f9aeaed42e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2055</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16, 2015</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13, 2015</w:t>
            </w:r>
          </w:p>
          <w:p>
            <w:pPr>
              <w:ind w:left="0" w:right="0" w:firstLine="360"/>
            </w:pPr>
            <w:r>
              <w:t xml:space="preserve">Yeas </w:t>
              <w:t xml:space="preserve">45</w:t>
            </w:r>
            <w:r>
              <w:t xml:space="preserve">  Nays </w:t>
              <w:t xml:space="preserve">1</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2055</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2055</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Representatives Johnson, S. Hunt, Walsh, Van De Wege, Haler, Appleton, Hawkins, Robinson, Zeiger, Sawyer, Wilson, Clibborn, Scott, Kagi, Buys, Fagan, and Tharinger</w:t>
      </w:r>
    </w:p>
    <w:p/>
    <w:p>
      <w:r>
        <w:rPr>
          <w:t xml:space="preserve">Read first time 02/09/15.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statements on ballot measures in voters' pamphlets; and amending RCW 29A.32.040, 29A.32.060, and 29A.72.025.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040</w:t>
      </w:r>
      <w:r>
        <w:rPr/>
        <w:t xml:space="preserve"> and 2009 c 415 s 3 are each amended to read as follows:</w:t>
      </w:r>
    </w:p>
    <w:p>
      <w:pPr>
        <w:spacing w:before="0" w:after="0" w:line="408" w:lineRule="exact"/>
        <w:ind w:left="0" w:right="0" w:firstLine="576"/>
        <w:jc w:val="left"/>
      </w:pPr>
      <w:r>
        <w:rPr/>
        <w:t xml:space="preserve">(1) Explanatory statements prepared by the attorney general under RCW 29A.32.070 (3) and (4) must be written in clear and concise language, avoiding legal and technical terms when possible</w:t>
      </w:r>
      <w:r>
        <w:rPr>
          <w:u w:val="single"/>
        </w:rPr>
        <w:t xml:space="preserve">. Statements are initiated by written request from the secretary of state</w:t>
      </w:r>
      <w:r>
        <w:rPr/>
        <w:t xml:space="preserve">, and </w:t>
      </w:r>
      <w:r>
        <w:rPr>
          <w:u w:val="single"/>
        </w:rPr>
        <w:t xml:space="preserve">must be</w:t>
      </w:r>
      <w:r>
        <w:rPr/>
        <w:t xml:space="preserve"> filed with the secretary of state </w:t>
      </w:r>
      <w:r>
        <w:t>((</w:t>
      </w:r>
      <w:r>
        <w:rPr>
          <w:strike/>
        </w:rPr>
        <w:t xml:space="preserve">no later than the tenth day of August</w:t>
      </w:r>
      <w:r>
        <w:t>))</w:t>
      </w:r>
      <w:r>
        <w:rPr>
          <w:u w:val="single"/>
        </w:rPr>
        <w:t xml:space="preserve">by the date provided in the request</w:t>
      </w:r>
      <w:r>
        <w:rPr/>
        <w:t xml:space="preserve">.</w:t>
      </w:r>
    </w:p>
    <w:p>
      <w:pPr>
        <w:spacing w:before="0" w:after="0" w:line="408" w:lineRule="exact"/>
        <w:ind w:left="0" w:right="0" w:firstLine="576"/>
        <w:jc w:val="left"/>
      </w:pPr>
      <w:r>
        <w:rPr/>
        <w:t xml:space="preserve">(2) When the explanatory statement</w:t>
      </w:r>
      <w:r>
        <w:rPr>
          <w:u w:val="single"/>
        </w:rPr>
        <w:t xml:space="preserve">s</w:t>
      </w:r>
      <w:r>
        <w:rPr/>
        <w:t xml:space="preserve"> for a measure initiated by petition </w:t>
      </w:r>
      <w:r>
        <w:t>((</w:t>
      </w:r>
      <w:r>
        <w:rPr>
          <w:strike/>
        </w:rPr>
        <w:t xml:space="preserve">is</w:t>
      </w:r>
      <w:r>
        <w:t>))</w:t>
      </w:r>
      <w:r>
        <w:rPr>
          <w:u w:val="single"/>
        </w:rPr>
        <w:t xml:space="preserve">are</w:t>
      </w:r>
      <w:r>
        <w:rPr/>
        <w:t xml:space="preserve"> filed with the secretary of state, the secretary of state shall immediately provide the text of the </w:t>
      </w:r>
      <w:r>
        <w:t>((</w:t>
      </w:r>
      <w:r>
        <w:rPr>
          <w:strike/>
        </w:rPr>
        <w:t xml:space="preserve">explanatory</w:t>
      </w:r>
      <w:r>
        <w:t>))</w:t>
      </w:r>
      <w:r>
        <w:rPr/>
        <w:t xml:space="preserve"> statement</w:t>
      </w:r>
      <w:r>
        <w:rPr>
          <w:u w:val="single"/>
        </w:rPr>
        <w:t xml:space="preserve">s</w:t>
      </w:r>
      <w:r>
        <w:rPr/>
        <w:t xml:space="preserve"> to the person proposing the measure and any others who have made written request for notification of the exact language of the </w:t>
      </w:r>
      <w:r>
        <w:t>((</w:t>
      </w:r>
      <w:r>
        <w:rPr>
          <w:strike/>
        </w:rPr>
        <w:t xml:space="preserve">explanatory</w:t>
      </w:r>
      <w:r>
        <w:t>))</w:t>
      </w:r>
      <w:r>
        <w:rPr/>
        <w:t xml:space="preserve"> statement</w:t>
      </w:r>
      <w:r>
        <w:rPr>
          <w:u w:val="single"/>
        </w:rPr>
        <w:t xml:space="preserve">s</w:t>
      </w:r>
      <w:r>
        <w:rPr/>
        <w:t xml:space="preserve">. When the </w:t>
      </w:r>
      <w:r>
        <w:t>((</w:t>
      </w:r>
      <w:r>
        <w:rPr>
          <w:strike/>
        </w:rPr>
        <w:t xml:space="preserve">explanatory</w:t>
      </w:r>
      <w:r>
        <w:t>))</w:t>
      </w:r>
      <w:r>
        <w:rPr/>
        <w:t xml:space="preserve"> statement</w:t>
      </w:r>
      <w:r>
        <w:rPr>
          <w:u w:val="single"/>
        </w:rPr>
        <w:t xml:space="preserve">s</w:t>
      </w:r>
      <w:r>
        <w:rPr/>
        <w:t xml:space="preserve"> for a measure referred to the ballot by the legislature </w:t>
      </w:r>
      <w:r>
        <w:t>((</w:t>
      </w:r>
      <w:r>
        <w:rPr>
          <w:strike/>
        </w:rPr>
        <w:t xml:space="preserve">is</w:t>
      </w:r>
      <w:r>
        <w:t>))</w:t>
      </w:r>
      <w:r>
        <w:rPr>
          <w:u w:val="single"/>
        </w:rPr>
        <w:t xml:space="preserve">are</w:t>
      </w:r>
      <w:r>
        <w:rPr/>
        <w:t xml:space="preserve"> filed with the secretary of state, the secretary of state shall immediately provide the text of the </w:t>
      </w:r>
      <w:r>
        <w:t>((</w:t>
      </w:r>
      <w:r>
        <w:rPr>
          <w:strike/>
        </w:rPr>
        <w:t xml:space="preserve">explanatory</w:t>
      </w:r>
      <w:r>
        <w:t>))</w:t>
      </w:r>
      <w:r>
        <w:rPr/>
        <w:t xml:space="preserve"> statement</w:t>
      </w:r>
      <w:r>
        <w:rPr>
          <w:u w:val="single"/>
        </w:rPr>
        <w:t xml:space="preserve">s</w:t>
      </w:r>
      <w:r>
        <w:rPr/>
        <w:t xml:space="preserve"> to the presiding officer of the senate </w:t>
      </w:r>
      <w:r>
        <w:t>((</w:t>
      </w:r>
      <w:r>
        <w:rPr>
          <w:strike/>
        </w:rPr>
        <w:t xml:space="preserve">and</w:t>
      </w:r>
      <w:r>
        <w:t>))</w:t>
      </w:r>
      <w:r>
        <w:rPr>
          <w:u w:val="single"/>
        </w:rPr>
        <w:t xml:space="preserve">,</w:t>
      </w:r>
      <w:r>
        <w:rPr/>
        <w:t xml:space="preserve"> the presiding officer of the house of representatives</w:t>
      </w:r>
      <w:r>
        <w:rPr>
          <w:u w:val="single"/>
        </w:rPr>
        <w:t xml:space="preserve">, the prime sponsor,</w:t>
      </w:r>
      <w:r>
        <w:rPr/>
        <w:t xml:space="preserve"> and any others who have made written request for notification of the exact language of the </w:t>
      </w:r>
      <w:r>
        <w:t>((</w:t>
      </w:r>
      <w:r>
        <w:rPr>
          <w:strike/>
        </w:rPr>
        <w:t xml:space="preserve">explanatory</w:t>
      </w:r>
      <w:r>
        <w:t>))</w:t>
      </w:r>
      <w:r>
        <w:rPr/>
        <w:t xml:space="preserve"> statement</w:t>
      </w:r>
      <w:r>
        <w:rPr>
          <w:u w:val="single"/>
        </w:rPr>
        <w:t xml:space="preserve">s</w:t>
      </w:r>
      <w:r>
        <w:rPr/>
        <w:t xml:space="preserve">.</w:t>
      </w:r>
    </w:p>
    <w:p>
      <w:pPr>
        <w:spacing w:before="0" w:after="0" w:line="408" w:lineRule="exact"/>
        <w:ind w:left="0" w:right="0" w:firstLine="576"/>
        <w:jc w:val="left"/>
      </w:pPr>
      <w:r>
        <w:rPr/>
        <w:t xml:space="preserve">(3) A person dissatisfied with the </w:t>
      </w:r>
      <w:r>
        <w:t>((</w:t>
      </w:r>
      <w:r>
        <w:rPr>
          <w:strike/>
        </w:rPr>
        <w:t xml:space="preserve">explanatory</w:t>
      </w:r>
      <w:r>
        <w:t>))</w:t>
      </w:r>
      <w:r>
        <w:rPr/>
        <w:t xml:space="preserve"> statement</w:t>
      </w:r>
      <w:r>
        <w:rPr>
          <w:u w:val="single"/>
        </w:rPr>
        <w:t xml:space="preserve">s</w:t>
      </w:r>
      <w:r>
        <w:rPr/>
        <w:t xml:space="preserve"> may appeal to the superior court of Thurston County within five days of the filing date. A copy of the petition and a notice of the appeal must be served on the secretary of state and the attorney general. The court shall examine the measure, the </w:t>
      </w:r>
      <w:r>
        <w:t>((</w:t>
      </w:r>
      <w:r>
        <w:rPr>
          <w:strike/>
        </w:rPr>
        <w:t xml:space="preserve">explanatory</w:t>
      </w:r>
      <w:r>
        <w:t>))</w:t>
      </w:r>
      <w:r>
        <w:rPr/>
        <w:t xml:space="preserve"> statement</w:t>
      </w:r>
      <w:r>
        <w:rPr>
          <w:u w:val="single"/>
        </w:rPr>
        <w:t xml:space="preserve">s</w:t>
      </w:r>
      <w:r>
        <w:rPr/>
        <w:t xml:space="preserve">, and objections, and may hear arguments. The court shall render its decision and certify to and file with the secretary of state </w:t>
      </w:r>
      <w:r>
        <w:t>((</w:t>
      </w:r>
      <w:r>
        <w:rPr>
          <w:strike/>
        </w:rPr>
        <w:t xml:space="preserve">an explanatory</w:t>
      </w:r>
      <w:r>
        <w:t>))</w:t>
      </w:r>
      <w:r>
        <w:rPr>
          <w:u w:val="single"/>
        </w:rPr>
        <w:t xml:space="preserve">a</w:t>
      </w:r>
      <w:r>
        <w:rPr/>
        <w:t xml:space="preserve"> statement it determines will meet the requirements of this chapter</w:t>
      </w:r>
      <w:r>
        <w:rPr>
          <w:u w:val="single"/>
        </w:rPr>
        <w:t xml:space="preserve">, and within the timelines identified by the secretary of state</w:t>
      </w:r>
      <w:r>
        <w:rPr/>
        <w:t xml:space="preserve">.</w:t>
      </w:r>
    </w:p>
    <w:p>
      <w:pPr>
        <w:spacing w:before="0" w:after="0" w:line="408" w:lineRule="exact"/>
        <w:ind w:left="0" w:right="0" w:firstLine="576"/>
        <w:jc w:val="left"/>
      </w:pPr>
      <w:r>
        <w:rPr/>
        <w:t xml:space="preserve">The decision of the superior court is final, and its </w:t>
      </w:r>
      <w:r>
        <w:t>((</w:t>
      </w:r>
      <w:r>
        <w:rPr>
          <w:strike/>
        </w:rPr>
        <w:t xml:space="preserve">explanatory</w:t>
      </w:r>
      <w:r>
        <w:t>))</w:t>
      </w:r>
      <w:r>
        <w:rPr/>
        <w:t xml:space="preserve"> statement is the established explanatory statement. The appeal must be heard without costs to either party.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060</w:t>
      </w:r>
      <w:r>
        <w:rPr/>
        <w:t xml:space="preserve"> and 2003 c 111 s 806 are each amended to read as follows:</w:t>
      </w:r>
    </w:p>
    <w:p>
      <w:pPr>
        <w:spacing w:before="0" w:after="0" w:line="408" w:lineRule="exact"/>
        <w:ind w:left="0" w:right="0" w:firstLine="576"/>
        <w:jc w:val="left"/>
      </w:pPr>
      <w:r>
        <w:rPr/>
        <w:t xml:space="preserve">Committees shall write and submit arguments advocating the approval or rejection of each statewide ballot issue and rebuttals of those arguments. The secretary of state, the presiding officer of the senate, and the presiding officer of the house of representatives shall appoint the initial two members of each committee. In making these committee appointments the secretary of state and presiding officers of the senate and house of representatives shall consider legislators, sponsors of initiatives and referendums, and other interested groups known to advocate or oppose the ballot measure. </w:t>
      </w:r>
      <w:r>
        <w:rPr>
          <w:u w:val="single"/>
        </w:rPr>
        <w:t xml:space="preserve">Committees must have the explanatory and fiscal impact statements available before preparing their arguments.</w:t>
      </w:r>
    </w:p>
    <w:p>
      <w:pPr>
        <w:spacing w:before="0" w:after="0" w:line="408" w:lineRule="exact"/>
        <w:ind w:left="0" w:right="0" w:firstLine="576"/>
        <w:jc w:val="left"/>
      </w:pPr>
      <w:r>
        <w:rPr/>
        <w:t xml:space="preserve">The initial two members may select up to four additional members, and the committee shall elect a chairperson. The remaining committee member or members may fill vacancies through appointment.</w:t>
      </w:r>
    </w:p>
    <w:p>
      <w:pPr>
        <w:spacing w:before="0" w:after="0" w:line="408" w:lineRule="exact"/>
        <w:ind w:left="0" w:right="0" w:firstLine="576"/>
        <w:jc w:val="left"/>
      </w:pPr>
      <w:r>
        <w:rPr/>
        <w:t xml:space="preserve">After the committee submits its initial argument statements to the secretary of state, the secretary of state shall transmit the statements to the opposite committee. The opposite committee may then prepare rebuttal arguments. Rebuttals may not interject new points.</w:t>
      </w:r>
    </w:p>
    <w:p>
      <w:pPr>
        <w:spacing w:before="0" w:after="0" w:line="408" w:lineRule="exact"/>
        <w:ind w:left="0" w:right="0" w:firstLine="576"/>
        <w:jc w:val="left"/>
      </w:pPr>
      <w:r>
        <w:rPr/>
        <w:t xml:space="preserve">The voters' pamphlet may contain only argument statements prepared according to this section. Arguments may contain graphs and charts supported by factual statistical data and pictures or other illustrations. Cartoons or caricatures are not permitted.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72</w:t>
      </w:r>
      <w:r>
        <w:rPr/>
        <w:t xml:space="preserve">.</w:t>
      </w:r>
      <w:r>
        <w:t xml:space="preserve">025</w:t>
      </w:r>
      <w:r>
        <w:rPr/>
        <w:t xml:space="preserve"> and 2009 c 415 s 7 are each amended to read as follows:</w:t>
      </w:r>
    </w:p>
    <w:p>
      <w:pPr>
        <w:spacing w:before="0" w:after="0" w:line="408" w:lineRule="exact"/>
        <w:ind w:left="0" w:right="0" w:firstLine="576"/>
        <w:jc w:val="left"/>
      </w:pPr>
      <w:r>
        <w:rPr>
          <w:u w:val="single"/>
        </w:rPr>
        <w:t xml:space="preserve">(1)</w:t>
      </w:r>
      <w:r>
        <w:rPr/>
        <w:t xml:space="preserve"> The office of financial management, in consultation with the secretary of state, the attorney general, and any other appropriate state or local agency, shall prepare a fiscal impact statement for each of the following state ballot measures: </w:t>
      </w:r>
      <w:r>
        <w:t>((</w:t>
      </w:r>
      <w:r>
        <w:rPr>
          <w:strike/>
        </w:rPr>
        <w:t xml:space="preserve">(1)</w:t>
      </w:r>
      <w:r>
        <w:t>))</w:t>
      </w:r>
      <w:r>
        <w:rPr>
          <w:u w:val="single"/>
        </w:rPr>
        <w:t xml:space="preserve">(a)</w:t>
      </w:r>
      <w:r>
        <w:rPr/>
        <w:t xml:space="preserve"> An initiative to the people that is certified to the ballot; </w:t>
      </w:r>
      <w:r>
        <w:t>((</w:t>
      </w:r>
      <w:r>
        <w:rPr>
          <w:strike/>
        </w:rPr>
        <w:t xml:space="preserve">(2)</w:t>
      </w:r>
      <w:r>
        <w:t>))</w:t>
      </w:r>
      <w:r>
        <w:rPr>
          <w:u w:val="single"/>
        </w:rPr>
        <w:t xml:space="preserve">(b)</w:t>
      </w:r>
      <w:r>
        <w:rPr/>
        <w:t xml:space="preserve"> an initiative to the legislature that will appear on the ballot; </w:t>
      </w:r>
      <w:r>
        <w:t>((</w:t>
      </w:r>
      <w:r>
        <w:rPr>
          <w:strike/>
        </w:rPr>
        <w:t xml:space="preserve">(3)</w:t>
      </w:r>
      <w:r>
        <w:t>))</w:t>
      </w:r>
      <w:r>
        <w:rPr>
          <w:u w:val="single"/>
        </w:rPr>
        <w:t xml:space="preserve">(c)</w:t>
      </w:r>
      <w:r>
        <w:rPr/>
        <w:t xml:space="preserve"> an alternative measure appearing on the ballot that the legislature proposes to an initiative to the legislature; </w:t>
      </w:r>
      <w:r>
        <w:t>((</w:t>
      </w:r>
      <w:r>
        <w:rPr>
          <w:strike/>
        </w:rPr>
        <w:t xml:space="preserve">(4)</w:t>
      </w:r>
      <w:r>
        <w:t>))</w:t>
      </w:r>
      <w:r>
        <w:rPr>
          <w:u w:val="single"/>
        </w:rPr>
        <w:t xml:space="preserve">(d)</w:t>
      </w:r>
      <w:r>
        <w:rPr/>
        <w:t xml:space="preserve"> a referendum bill referred to voters by the legislature; and </w:t>
      </w:r>
      <w:r>
        <w:t>((</w:t>
      </w:r>
      <w:r>
        <w:rPr>
          <w:strike/>
        </w:rPr>
        <w:t xml:space="preserve">(5)</w:t>
      </w:r>
      <w:r>
        <w:t>))</w:t>
      </w:r>
      <w:r>
        <w:rPr>
          <w:u w:val="single"/>
        </w:rPr>
        <w:t xml:space="preserve">(e)</w:t>
      </w:r>
      <w:r>
        <w:rPr/>
        <w:t xml:space="preserve"> a referendum measure appearing on the ballot. Fiscal impact statements must be written in clear and concise language, </w:t>
      </w:r>
      <w:r>
        <w:rPr>
          <w:u w:val="single"/>
        </w:rPr>
        <w:t xml:space="preserve">and</w:t>
      </w:r>
      <w:r>
        <w:rPr/>
        <w:t xml:space="preserve"> avoid legal and technical terms when possible</w:t>
      </w:r>
      <w:r>
        <w:rPr>
          <w:u w:val="single"/>
        </w:rPr>
        <w:t xml:space="preserve">. The statement must be prepared upon written request from the secretary of state</w:t>
      </w:r>
      <w:r>
        <w:rPr/>
        <w:t xml:space="preserve">, and </w:t>
      </w:r>
      <w:r>
        <w:rPr>
          <w:u w:val="single"/>
        </w:rPr>
        <w:t xml:space="preserve">must</w:t>
      </w:r>
      <w:r>
        <w:rPr/>
        <w:t xml:space="preserve"> be filed </w:t>
      </w:r>
      <w:r>
        <w:t>((</w:t>
      </w:r>
      <w:r>
        <w:rPr>
          <w:strike/>
        </w:rPr>
        <w:t xml:space="preserve">with the secretary of state no later than the tenth day of August</w:t>
      </w:r>
      <w:r>
        <w:t>))</w:t>
      </w:r>
      <w:r>
        <w:rPr>
          <w:u w:val="single"/>
        </w:rPr>
        <w:t xml:space="preserve">by the deadline in the request</w:t>
      </w:r>
      <w:r>
        <w:rPr/>
        <w:t xml:space="preserve">. Fiscal impact statements may include easily understood graphics.</w:t>
      </w:r>
    </w:p>
    <w:p>
      <w:pPr>
        <w:spacing w:before="0" w:after="0" w:line="408" w:lineRule="exact"/>
        <w:ind w:left="0" w:right="0" w:firstLine="576"/>
        <w:jc w:val="left"/>
      </w:pPr>
      <w:r>
        <w:rPr>
          <w:u w:val="single"/>
        </w:rPr>
        <w:t xml:space="preserve">(2)</w:t>
      </w:r>
      <w:r>
        <w:rPr/>
        <w:t xml:space="preserve"> A fiscal impact statement must describe any projected increase or decrease in revenues, costs, expenditures, or indebtedness that the state or local governments will experience if the ballot measure were approved by state voters. Where appropriate, a fiscal impact statement may include both estimated dollar amounts and a description placing the estimated dollar amounts into context. A fiscal impact statement must include both a summary of not to exceed one hundred words and a more detailed statement that includes the assumptions that were made to develop the fiscal impacts.</w:t>
      </w:r>
    </w:p>
    <w:p>
      <w:pPr>
        <w:spacing w:before="0" w:after="0" w:line="408" w:lineRule="exact"/>
        <w:ind w:left="0" w:right="0" w:firstLine="576"/>
        <w:jc w:val="left"/>
      </w:pPr>
      <w:r>
        <w:rPr>
          <w:u w:val="single"/>
        </w:rPr>
        <w:t xml:space="preserve">(3) When the fiscal impact statement for a measure initiated by petition is filed with the secretary of state, the secretary of state shall immediately provide the text of the statement to the person proposing the measure and any others who have made written request for notification of the exact language of the statement. When the statement for a measure referred to the ballot by the legislature is filed with the secretary of state, the secretary of state shall immediately provide the text of the statement to the presiding officer of the senate, the presiding officer of the house of representatives, the prime sponsor, and any others who have made written request for notification of the exact language of the statement.</w:t>
      </w:r>
    </w:p>
    <w:p>
      <w:pPr>
        <w:spacing w:before="0" w:after="0" w:line="408" w:lineRule="exact"/>
        <w:ind w:left="0" w:right="0" w:firstLine="576"/>
        <w:jc w:val="left"/>
      </w:pPr>
      <w:r>
        <w:rPr>
          <w:u w:val="single"/>
        </w:rPr>
        <w:t xml:space="preserve">(4)</w:t>
      </w:r>
      <w:r>
        <w:rPr/>
        <w:t xml:space="preserve"> Fiscal impact statements must be available online from the secretary of state's web site and included in the state voters' pamphlet. Additional information may be posted on the web site of the office of financial management.</w:t>
      </w:r>
    </w:p>
    <w:p>
      <w:pPr>
        <w:spacing w:before="0" w:after="0" w:line="408" w:lineRule="exact"/>
        <w:ind w:left="0" w:right="0" w:firstLine="576"/>
        <w:jc w:val="left"/>
      </w:pPr>
      <w:r>
        <w:rPr>
          <w:u w:val="single"/>
        </w:rPr>
        <w:t xml:space="preserve">(5)(a) A person dissatisfied with the fiscal impact statement may appeal to the superior court of Thurston county within five days of the filing date. A copy of the petition and a notice of the appeal must be served on the secretary of state and the attorney general. The court shall examine the measure, the statement, and objections, and may hear arguments including arguments from persons advocating and opposing the measure. The court shall render its decision and certify to and file with the secretary of state a statement it determines will meet the requirements of this chapter, and within the timelines identified by the secretary of state.</w:t>
      </w:r>
    </w:p>
    <w:p>
      <w:pPr>
        <w:spacing w:before="0" w:after="0" w:line="408" w:lineRule="exact"/>
        <w:ind w:left="0" w:right="0" w:firstLine="576"/>
        <w:jc w:val="left"/>
      </w:pPr>
      <w:r>
        <w:rPr>
          <w:u w:val="single"/>
        </w:rPr>
        <w:t xml:space="preserve">(b) The decision of the superior court is final, and its statement is the established fiscal impact statement. The appeal must be heard without costs to either party.</w:t>
      </w:r>
    </w:p>
    <w:p/>
    <w:p>
      <w:pPr>
        <w:jc w:val="center"/>
      </w:pPr>
      <w:r>
        <w:rPr>
          <w:b/>
        </w:rPr>
        <w:t>--- END ---</w:t>
      </w:r>
    </w:p>
    <w:sectPr>
      <w:pgNumType w:start="1"/>
      <w:footerReference xmlns:r="http://schemas.openxmlformats.org/officeDocument/2006/relationships" r:id="Rbd8b73c84f7b40a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2055.PL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44f62870d454290" /><Relationship Type="http://schemas.openxmlformats.org/officeDocument/2006/relationships/footer" Target="/word/footer.xml" Id="Rbd8b73c84f7b40a0" /></Relationships>
</file>