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c820f51094b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2020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12</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Blake, Nealey, Takko, and Smith</w:t>
      </w:r>
    </w:p>
    <w:p/>
    <w:p>
      <w:r>
        <w:rPr>
          <w:t xml:space="preserve">Read first time 02/06/15.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utility emissions reduction standards at a low-cost to utility customers with electricity generated by renewable resources; and amending RCW 19.285.010, 19.285.020, 19.285.030, and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010</w:t>
      </w:r>
      <w:r>
        <w:rPr/>
        <w:t xml:space="preserve"> and 2007 c 1 s 1 are each amended to read as follows:</w:t>
      </w:r>
    </w:p>
    <w:p>
      <w:pPr>
        <w:spacing w:before="0" w:after="0" w:line="408" w:lineRule="exact"/>
        <w:ind w:left="0" w:right="0" w:firstLine="576"/>
        <w:jc w:val="left"/>
      </w:pPr>
      <w:r>
        <w:rPr/>
        <w:t xml:space="preserve">This chapter concerns requirements for new energy resources. </w:t>
      </w:r>
      <w:r>
        <w:rPr>
          <w:u w:val="single"/>
        </w:rPr>
        <w:t xml:space="preserve">In order to maintain and enhance the low-cost, clean energy foundation of the state, t</w:t>
      </w:r>
      <w:r>
        <w:rPr/>
        <w:t xml:space="preserve">his chapter requires large utilities to</w:t>
      </w:r>
      <w:r>
        <w:rPr>
          <w:u w:val="single"/>
        </w:rPr>
        <w:t xml:space="preserve">: (1) Pursue cost-effective energy conservation; (2)</w:t>
      </w:r>
      <w:r>
        <w:rPr/>
        <w:t xml:space="preserve"> obtain fifteen percent of their electricity from new renewable resources such as solar and wind by 2020 </w:t>
      </w:r>
      <w:r>
        <w:t>((</w:t>
      </w:r>
      <w:r>
        <w:rPr>
          <w:strike/>
        </w:rPr>
        <w:t xml:space="preserve">and undertake cost-effective energy conservation</w:t>
      </w:r>
      <w:r>
        <w:t>))</w:t>
      </w:r>
      <w:r>
        <w:rPr>
          <w:u w:val="single"/>
        </w:rPr>
        <w:t xml:space="preserve">; or (3) meet an emissions reduction standard that encourages the provision of electricity that reduces greenhouse gas emissions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and the use of appropriately sited renewable energy facilities builds on the strong foundation of low-cost renewable hydroelectric generation in Washington state and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clean energy technologies.</w:t>
      </w:r>
    </w:p>
    <w:p>
      <w:pPr>
        <w:spacing w:before="0" w:after="0" w:line="408" w:lineRule="exact"/>
        <w:ind w:left="0" w:right="0" w:firstLine="576"/>
        <w:jc w:val="left"/>
      </w:pPr>
      <w:r>
        <w:rPr>
          <w:u w:val="single"/>
        </w:rPr>
        <w:t xml:space="preserve">It is also the policy of this state to seek the most cost-effective mix of conservation and existing and new zero-emission generating resources to build upon our low-cost, clean energy foundation. To accomplish this, it is the policy of this state to encourage electric utilities to achieve an emissions reduction standard to maintain the already low, and encourage further reduction of, greenhouse gas emissions from electricity generated to serve utility customers by using energy conservation and appropriately sited renewable resources to meet new demand for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or</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"Greenhouse gas" has the same meaning as defined in RCW 80.80.010.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u w:val="single"/>
        </w:rPr>
        <w:t xml:space="preserve">(k)</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rPr>
          <w:u w:val="single"/>
        </w:rPr>
        <w:t xml:space="preserve">Beginning January 1, 2016, a qualifying utility is considered in compliance with an annual target in (a) of this subsection if it meets the following emissions reduction standards:</w:t>
      </w:r>
    </w:p>
    <w:p>
      <w:pPr>
        <w:spacing w:before="0" w:after="0" w:line="408" w:lineRule="exact"/>
        <w:ind w:left="0" w:right="0" w:firstLine="576"/>
        <w:jc w:val="left"/>
      </w:pPr>
      <w:r>
        <w:rPr>
          <w:u w:val="single"/>
        </w:rPr>
        <w:t xml:space="preserve">(i) The utility uses renewable resources, nuclear energy, or equivalent renewable energy credits to meet at least ninety-three percent of its load in the target year; or</w:t>
      </w:r>
    </w:p>
    <w:p>
      <w:pPr>
        <w:spacing w:before="0" w:after="0" w:line="408" w:lineRule="exact"/>
        <w:ind w:left="0" w:right="0" w:firstLine="576"/>
        <w:jc w:val="left"/>
      </w:pPr>
      <w:r>
        <w:rPr>
          <w:u w:val="single"/>
        </w:rPr>
        <w:t xml:space="preserve">(ii) The greenhouse gas emissions from the electricity used to meet the utility's weather-adjusted load for the previous three years on average decreased by two percent in the target year.</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36686b6f0c554d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45d0465ffe4129" /><Relationship Type="http://schemas.openxmlformats.org/officeDocument/2006/relationships/footer" Target="/word/footer.xml" Id="R36686b6f0c554d9a" /></Relationships>
</file>