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0f6ef7fba4d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2015</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1977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1977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Moscoso, Orcutt, Clibborn, Bergquist, Zeiger, Pollet, and Tarleton</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tuition and fees exemption for children and surviving spouses of certain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2012 c 229 s 703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u w:val="single"/>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ab27d2999c0140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f0f3aef5574b61" /><Relationship Type="http://schemas.openxmlformats.org/officeDocument/2006/relationships/footer" Target="/word/footer.xml" Id="Rab27d2999c0140c5" /></Relationships>
</file>