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c8c2b5a7f4b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2015</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1919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State Government (originally sponsored by Representative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timing of special elections; amending RCW 29A.04.321, 29A.04.330, 29A.32.280, and 35.17.260; and reenacting and amending RCW 29A.60.190.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321</w:t>
      </w:r>
      <w:r>
        <w:rPr/>
        <w:t xml:space="preserve"> and 2013 c 11 s 8 are each amended to read as follows:</w:t>
      </w:r>
    </w:p>
    <w:p>
      <w:pPr>
        <w:spacing w:before="0" w:after="0" w:line="408" w:lineRule="exact"/>
        <w:ind w:left="0" w:right="0" w:firstLine="576"/>
        <w:jc w:val="left"/>
      </w:pPr>
      <w:r>
        <w:rPr/>
        <w:t xml:space="preserve">(1) All state, county, city, town, and district general elections for the election of federal, state, legislative, judicial, county, city, town, and district officers, and for the submission to the voters of the state, county, city, town, or district of any measure for their adoption and approval or rejection, shall be held on the first Tuesday after the first Monday of November, in the year in which they may be called. A statewide general election shall be held on the first Tuesday after the first Monday of November of each year. However, the statewide general election held in odd-numbered years shall be limited to (a) city, town, and district general elections as provided for in RCW 29A.04.330, or as otherwise provided by law; (b) the election of federal officers for the remainder of any unexpired terms in the membership of either branch of the Congress of the United States; (c) the election of state and county officers for the remainder of any unexpired terms of offices created by or whose duties are described in Article II, section 15, Article III, sections 16, 17, 19, 20, 21, 22, and 23, and Article IV, sections 3 and 5 of the state Constitution and RCW 2.06.080; (d) the election of county officers in any county governed by a charter containing provisions calling for general county elections at this time; and (e) the approval or rejection of state measures, including proposed constitutional amendments, matters pertaining to any proposed constitutional convention, initiative measures and referendum measures proposed by the electorate, referendum bills, and any other matter provided by the legislature for submission to the electorate.</w:t>
      </w:r>
    </w:p>
    <w:p>
      <w:pPr>
        <w:spacing w:before="0" w:after="0" w:line="408" w:lineRule="exact"/>
        <w:ind w:left="0" w:right="0" w:firstLine="576"/>
        <w:jc w:val="left"/>
      </w:pPr>
      <w:r>
        <w:rPr/>
        <w:t xml:space="preserve">(2) A county legislative authority may call a special county election by presenting a resolution to the county auditor prior to the proposed election date. A special election called by the county legislative authority shall be held on one of the following dates as decided by such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w:t>
      </w:r>
      <w:r>
        <w:t>((</w:t>
      </w:r>
      <w:r>
        <w:rPr>
          <w:strike/>
        </w:rPr>
        <w:t xml:space="preserve">forty-six</w:t>
      </w:r>
      <w:r>
        <w:t>))</w:t>
      </w:r>
      <w:r>
        <w:rPr/>
        <w:t xml:space="preserve"> </w:t>
      </w:r>
      <w:r>
        <w:rPr>
          <w:u w:val="single"/>
        </w:rPr>
        <w:t xml:space="preserve">sixty</w:t>
      </w:r>
      <w:r>
        <w:rPr/>
        <w:t xml:space="preserve">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the dates set forth in subsection (2)(a) through (d) of this section, a special election to validate an excess levy or bond issue may be called at any time to meet the needs resulting from fire, flood, earthquake, or other act of God. Such county special election shall be noticed and conducted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 This section shall not be construed as fixing the time for holding primary elections, or elections for the recall of any elective public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2013 c 11 s 9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w:t>
      </w:r>
      <w:r>
        <w:t>((</w:t>
      </w:r>
      <w:r>
        <w:rPr>
          <w:strike/>
        </w:rPr>
        <w:t xml:space="preserve">forty-six</w:t>
      </w:r>
      <w:r>
        <w:t>))</w:t>
      </w:r>
      <w:r>
        <w:rPr/>
        <w:t xml:space="preserve"> </w:t>
      </w:r>
      <w:r>
        <w:rPr>
          <w:u w:val="single"/>
        </w:rPr>
        <w:t xml:space="preserve">sixty</w:t>
      </w:r>
      <w:r>
        <w:rPr/>
        <w:t xml:space="preserve">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2003 c 111 s 820 are each amended to read as follows:</w:t>
      </w:r>
    </w:p>
    <w:p>
      <w:pPr>
        <w:spacing w:before="0" w:after="0" w:line="408" w:lineRule="exact"/>
        <w:ind w:left="0" w:right="0" w:firstLine="576"/>
        <w:jc w:val="left"/>
      </w:pPr>
      <w:r>
        <w:rPr/>
        <w:t xml:space="preserve">For each measure from a unit of local government that is included in a local voters' pamphlet, the legislative authority of that jurisdiction shall, not later than </w:t>
      </w:r>
      <w:r>
        <w:t>((</w:t>
      </w:r>
      <w:r>
        <w:rPr>
          <w:strike/>
        </w:rPr>
        <w:t xml:space="preserve">forty-five days before the publication of the pamphlet</w:t>
      </w:r>
      <w:r>
        <w:t>))</w:t>
      </w:r>
      <w:r>
        <w:rPr/>
        <w:t xml:space="preserve"> </w:t>
      </w:r>
      <w:r>
        <w:rPr>
          <w:u w:val="single"/>
        </w:rPr>
        <w:t xml:space="preserve">the resolution deadline</w:t>
      </w:r>
      <w:r>
        <w:rPr/>
        <w:t xml:space="preserve">, formally appoint a committee to prepare arguments advocating voters' approval of the measure and shall formally appoint a committee to prepare arguments advocating voters' rejection of the measure. The authority shall appoint persons known to favor the measure to serve on the committee advocating approval and shall, whenever possible, appoint persons known to oppose the measure to serve on the committee advocating rejection. Each committee shall have not more than three members, however, a committee may seek the advice of any person or persons. If the legislative authority of a unit of local government fails to make such appointments by the prescribed deadline, the county auditor shall whenever possible make the appointments.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2011 c 349 s 21 and 2011 c 10 s 58 are each reenacted and amended to read as follows:</w:t>
      </w:r>
    </w:p>
    <w:p>
      <w:pPr>
        <w:spacing w:before="0" w:after="0" w:line="408" w:lineRule="exact"/>
        <w:ind w:left="0" w:right="0" w:firstLine="576"/>
        <w:jc w:val="left"/>
      </w:pPr>
      <w:r>
        <w:rPr>
          <w:u w:val="single"/>
        </w:rPr>
        <w:t xml:space="preserve">Ten days after a special election held in February or April, f</w:t>
      </w:r>
      <w:r>
        <w:rPr/>
        <w:t xml:space="preserve">ourteen days after a primary</w:t>
      </w:r>
      <w:r>
        <w:rPr>
          <w:u w:val="single"/>
        </w:rPr>
        <w:t xml:space="preserve">,</w:t>
      </w:r>
      <w:r>
        <w:rPr/>
        <w:t xml:space="preserve"> or </w:t>
      </w:r>
      <w:r>
        <w:t>((</w:t>
      </w:r>
      <w:r>
        <w:rPr>
          <w:strike/>
        </w:rPr>
        <w:t xml:space="preserve">special election and</w:t>
      </w:r>
      <w:r>
        <w:t>))</w:t>
      </w:r>
      <w:r>
        <w:rPr/>
        <w:t xml:space="preserve"> twenty-one days after a general election, the county canvassing board shall complete the canvass and certify the results. Each ballot that was returned before 8:00 p.m. on the day of the special election, general election, or primary, and each ballot bearing a postmark on or before the date of the special election, general election, or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spacing w:before="0" w:after="0" w:line="408" w:lineRule="exact"/>
        <w:ind w:left="0" w:right="0" w:firstLine="576"/>
        <w:jc w:val="left"/>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spacing w:before="0" w:after="0" w:line="408" w:lineRule="exact"/>
        <w:ind w:left="0" w:right="0" w:firstLine="576"/>
        <w:jc w:val="left"/>
      </w:pPr>
      <w:r>
        <w:rPr/>
        <w:t xml:space="preserve">(1) Pass the proposed ordinance without alteration within twenty days after the county auditor's certificate of sufficiency has been received by the commission; or</w:t>
      </w:r>
    </w:p>
    <w:p>
      <w:pPr>
        <w:spacing w:before="0" w:after="0" w:line="408" w:lineRule="exact"/>
        <w:ind w:left="0" w:right="0" w:firstLine="576"/>
        <w:jc w:val="left"/>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t xml:space="preserve"> </w:t>
      </w:r>
      <w:r>
        <w:rPr>
          <w:u w:val="single"/>
        </w:rPr>
        <w:t xml:space="preserve">29A.04.330</w:t>
      </w:r>
      <w:r>
        <w:rPr/>
        <w:t xml:space="preserve">, </w:t>
      </w:r>
      <w:r>
        <w:t>((</w:t>
      </w:r>
      <w:r>
        <w:rPr>
          <w:strike/>
        </w:rPr>
        <w:t xml:space="preserve">that occurs not less than forty-five days thereafter</w:t>
      </w:r>
      <w:r>
        <w:t>))</w:t>
      </w:r>
      <w:r>
        <w:rPr/>
        <w:t xml:space="preserve"> </w:t>
      </w:r>
      <w:r>
        <w:rPr>
          <w:u w:val="single"/>
        </w:rPr>
        <w:t xml:space="preserve">provided that the resolution deadline for that election has not passed</w:t>
      </w:r>
      <w:r>
        <w:rPr/>
        <w:t xml:space="preserve">, for submission of the proposed ordinance without alteration, to a vote of the people unless a general election will occur within ninety days, in which event submission must be made on the general election ballot.</w:t>
      </w:r>
    </w:p>
    <w:p/>
    <w:p>
      <w:pPr>
        <w:jc w:val="center"/>
      </w:pPr>
      <w:r>
        <w:rPr>
          <w:b/>
        </w:rPr>
        <w:t>--- END ---</w:t>
      </w:r>
    </w:p>
    <w:sectPr>
      <w:pgNumType w:start="1"/>
      <w:footerReference xmlns:r="http://schemas.openxmlformats.org/officeDocument/2006/relationships" r:id="R28b287f92f7046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bc5d7be36c4b47" /><Relationship Type="http://schemas.openxmlformats.org/officeDocument/2006/relationships/footer" Target="/word/footer.xml" Id="R28b287f92f704655" /></Relationships>
</file>