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9cfa0db2549d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1851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1851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Environment (originally sponsored by Representatives Hayes, Bergquist, Zeiger, Takko, Harmsworth, Wilson, Griffey, Hargrove, Smith, and Magendanz)</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expedited permitting and contracting for bridges owned by local governments that are deemed structurally deficient; amending RCW 47.28.170; adding a new section to chapter 43.21C RCW; and adding a new section to chapter 39.04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department must amend the categorical exemption available to Washington department of transportation projects under WAC 197-11-800(26) as of the effective date of this section so that the same categorical exemption applies to structurally deficient city, town, or county bridge repair or replacement projects.</w:t>
      </w:r>
    </w:p>
    <w:p>
      <w:pPr>
        <w:spacing w:before="0" w:after="0" w:line="408" w:lineRule="exact"/>
        <w:ind w:left="0" w:right="0" w:firstLine="576"/>
        <w:jc w:val="left"/>
      </w:pPr>
      <w:r>
        <w:rPr/>
        <w:t xml:space="preserve">(2) For purposes of this section, "structurally deficient" means a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load-carrying capacity. Bridges deemed structurally deficient typically require significant maintenance and repair to remain in service, and require major rehabilitation or replacement to address the underlying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spacing w:before="0" w:after="0" w:line="408" w:lineRule="exact"/>
        <w:ind w:left="0" w:right="0" w:firstLine="576"/>
        <w:jc w:val="left"/>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the department may obtain at least three written bids for the work without publishing a call for bids, and the secretary of transportation may award a contract forthwith to the lowest responsible bidder.</w:t>
      </w:r>
    </w:p>
    <w:p>
      <w:pPr>
        <w:spacing w:before="0" w:after="0" w:line="408" w:lineRule="exact"/>
        <w:ind w:left="0" w:right="0" w:firstLine="576"/>
        <w:jc w:val="left"/>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spacing w:before="0" w:after="0" w:line="408" w:lineRule="exact"/>
        <w:ind w:left="0" w:right="0" w:firstLine="576"/>
        <w:jc w:val="left"/>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spacing w:before="0" w:after="0" w:line="408" w:lineRule="exact"/>
        <w:ind w:left="0" w:right="0" w:firstLine="576"/>
        <w:jc w:val="left"/>
      </w:pPr>
      <w:r>
        <w:rPr/>
        <w:t xml:space="preserve">(3) The secretary shall review any contract exceeding seven hundred thousand dollars awarded under subsection (1) or (2) of this section with the office of financial management within thirty days of the contract award.</w:t>
      </w:r>
    </w:p>
    <w:p>
      <w:pPr>
        <w:spacing w:before="0" w:after="0" w:line="408" w:lineRule="exact"/>
        <w:ind w:left="0" w:right="0" w:firstLine="576"/>
        <w:jc w:val="left"/>
      </w:pPr>
      <w:r>
        <w:rPr/>
        <w:t xml:space="preserve">(4) Any person, firm, or corporation awarded a contract for work must be prequalified pursuant to RCW 47.28.070 and may be required to furnish a bid deposit or performance bond.</w:t>
      </w:r>
    </w:p>
    <w:p>
      <w:pPr>
        <w:spacing w:before="0" w:after="0" w:line="408" w:lineRule="exact"/>
        <w:ind w:left="0" w:right="0" w:firstLine="576"/>
        <w:jc w:val="left"/>
      </w:pPr>
      <w:r>
        <w:rPr>
          <w:u w:val="single"/>
        </w:rPr>
        <w:t xml:space="preserve">(5) A city, town, or county may use the contracting process available to the department under subsection (1) of this section for the repair or replacement of a bridge deemed structurally deficient,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repair or replacement of a city, town, or county bridge deemed structurally deficient, as defined in section 1 of this act, may use the contracting process available under RCW 47.28.170.</w:t>
      </w:r>
    </w:p>
    <w:p/>
    <w:p>
      <w:pPr>
        <w:jc w:val="center"/>
      </w:pPr>
      <w:r>
        <w:rPr>
          <w:b/>
        </w:rPr>
        <w:t>--- END ---</w:t>
      </w:r>
    </w:p>
    <w:sectPr>
      <w:pgNumType w:start="1"/>
      <w:footerReference xmlns:r="http://schemas.openxmlformats.org/officeDocument/2006/relationships" r:id="Ra70dc1d1deb647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f87725de14dd4" /><Relationship Type="http://schemas.openxmlformats.org/officeDocument/2006/relationships/footer" Target="/word/footer.xml" Id="Ra70dc1d1deb64753" /></Relationships>
</file>