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88e8fd844e8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1727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1727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1727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Schmick, Cody, and Short)</w:t>
      </w:r>
    </w:p>
    <w:p/>
    <w:p>
      <w:r>
        <w:rPr>
          <w:t xml:space="preserve">READ FIRST TIME 02/10/15.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permitting nursing assistants to perform simple care tasks under indirect supervision; and amending RCW 18.88A.020.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88A</w:t>
      </w:r>
      <w:r>
        <w:rPr/>
        <w:t xml:space="preserve">.</w:t>
      </w:r>
      <w:r>
        <w:t xml:space="preserve">020</w:t>
      </w:r>
      <w:r>
        <w:rPr/>
        <w:t xml:space="preserve"> and 2012 c 208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the definitions in this section apply throughout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"Alternative training" means a nursing assistant-certified program meeting criteria adopted by the commission under RCW 18.88A.087 to meet the requirements of a state-approved nurse aide competency evaluation program consistent with 42 U.S.C. Sec. 1395i-3(e) and (f) of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"Approved training program" means a nursing assistant-certified training program approved by the commission to meet the requirements of a state-approved nurse aide training and competency evaluation program consistent with 42 U.S.C. Sec. 1395i-3(e) and (f) of the federal social security act. For community college, vocational-technical institutes, skill centers, and secondary school as defined in chapter 28B.50 RCW, nursing assistant-certified training programs shall be approved by the commission in cooperation with the board for community and technical colleges or the superintendent of public instruction.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"Commission" means the Washington nursing care quality assurance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"Competency evaluation" means the measurement of an individual's knowledge and skills as related to safe, competent performance as a nursing assistant.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"Department" means the department of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"Health care facility" means a nursing home, hospital, hospice care facility, home health care agency, hospice agency, </w:t>
      </w:r>
      <w:r>
        <w:rPr>
          <w:u w:val="single"/>
        </w:rPr>
        <w:t xml:space="preserve">licensed service provider under chapter 71.24 RCW other than an individual health care provider,</w:t>
      </w:r>
      <w:r>
        <w:rPr/>
        <w:t xml:space="preserve"> or other entity for delivery of health care services as defined by the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"Medication assistant" means a nursing assistant-certified with a medication assistant endorsement issued under RCW 18.88A.082 who is authorized, in addition to his or her duties as a nursing assistant-certified, to administer certain medications and perform certain treatments in a nursing home under the supervision of a registered nurse under RCW 18.88A.082.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"Nursing assistant" means an individual, regardless of title, who, under the direction and supervision of a registered nurse or licensed practical nurse, assists in the delivery of nursing and nursing-related activities to patients in a health care facility. The two levels of nursing assistants are: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"Nursing assistant-certified," an individual certified under this chapter;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"Nursing assistant-registered," an individual registered under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"Nursing home" means a nursing home licensed under chapter 18.51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"Secretary" means the secretary of health.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1adbf13cfd245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1727.PL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877acd8344196" /><Relationship Type="http://schemas.openxmlformats.org/officeDocument/2006/relationships/footer" Target="/word/footer.xml" Id="Rc1adbf13cfd2454e" /></Relationships>
</file>