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71609e2a847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1674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1674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1674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Pettigrew, Walsh, Goodman, Walkinshaw, Kagi, Appleton, Reykdal, Moscoso, Ormsby, McBride, and Jinkins; by request of Department of Social and Health Services</w:t>
      </w:r>
    </w:p>
    <w:p/>
    <w:p>
      <w:r>
        <w:rPr>
          <w:t xml:space="preserve">Read first time 01/26/15.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youthful offenders who complete their confinement terms prior to age twenty-one equal access to a full continuum of rehabilitative and reentry services; and amending RCW 9.94A.728 and 72.01.410.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u w:val="single"/>
        </w:rPr>
        <w:t xml:space="preserve">(1)</w:t>
      </w:r>
      <w:r>
        <w:rPr/>
        <w:t xml:space="preserve">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An offender may earn early release time as authorized by RCW 9.94A.729;</w:t>
      </w:r>
    </w:p>
    <w:p>
      <w:pPr>
        <w:spacing w:before="0" w:after="0" w:line="408" w:lineRule="exact"/>
        <w:ind w:left="0" w:right="0" w:firstLine="576"/>
        <w:jc w:val="left"/>
      </w:pPr>
      <w:r>
        <w:t>((</w:t>
      </w:r>
      <w:r>
        <w:rPr>
          <w:strike/>
        </w:rPr>
        <w:t xml:space="preserve">(2)</w:t>
      </w:r>
      <w:r>
        <w:t>))</w:t>
      </w:r>
      <w:r>
        <w:rPr>
          <w:u w:val="single"/>
        </w:rPr>
        <w:t xml:space="preserve">(b)</w:t>
      </w:r>
      <w:r>
        <w:rPr/>
        <w:t xml:space="preserve">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t>((</w:t>
      </w:r>
      <w:r>
        <w:rPr>
          <w:strike/>
        </w:rPr>
        <w:t xml:space="preserve">(3)(a)</w:t>
      </w:r>
      <w:r>
        <w:t>))</w:t>
      </w:r>
      <w:r>
        <w:rPr>
          <w:u w:val="single"/>
        </w:rPr>
        <w:t xml:space="preserve">(c)(i)</w:t>
      </w:r>
      <w:r>
        <w:rPr/>
        <w:t xml:space="preserve"> The secretary may authorize an extraordinary medical placement for an offender when all of the following conditions exist:</w:t>
      </w:r>
    </w:p>
    <w:p>
      <w:pPr>
        <w:spacing w:before="0" w:after="0" w:line="408" w:lineRule="exact"/>
        <w:ind w:left="0" w:right="0" w:firstLine="576"/>
        <w:jc w:val="left"/>
      </w:pPr>
      <w:r>
        <w:t>((</w:t>
      </w:r>
      <w:r>
        <w:rPr>
          <w:strike/>
        </w:rPr>
        <w:t xml:space="preserve">(i)</w:t>
      </w:r>
      <w:r>
        <w:t>))</w:t>
      </w:r>
      <w:r>
        <w:rPr>
          <w:u w:val="single"/>
        </w:rPr>
        <w:t xml:space="preserve">(A)</w:t>
      </w:r>
      <w:r>
        <w:rPr/>
        <w:t xml:space="preserve"> The offender has a medical condition that is serious and is expected to require costly care or treatment;</w:t>
      </w:r>
    </w:p>
    <w:p>
      <w:pPr>
        <w:spacing w:before="0" w:after="0" w:line="408" w:lineRule="exact"/>
        <w:ind w:left="0" w:right="0" w:firstLine="576"/>
        <w:jc w:val="left"/>
      </w:pPr>
      <w:r>
        <w:t>((</w:t>
      </w:r>
      <w:r>
        <w:rPr>
          <w:strike/>
        </w:rPr>
        <w:t xml:space="preserve">(ii)</w:t>
      </w:r>
      <w:r>
        <w:t>))</w:t>
      </w:r>
      <w:r>
        <w:rPr>
          <w:u w:val="single"/>
        </w:rPr>
        <w:t xml:space="preserve">(B)</w:t>
      </w:r>
      <w:r>
        <w:rPr/>
        <w:t xml:space="preserve">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t>((</w:t>
      </w:r>
      <w:r>
        <w:rPr>
          <w:strike/>
        </w:rPr>
        <w:t xml:space="preserve">(iii)</w:t>
      </w:r>
      <w:r>
        <w:t>))</w:t>
      </w:r>
      <w:r>
        <w:rPr>
          <w:u w:val="single"/>
        </w:rPr>
        <w:t xml:space="preserve">(C)</w:t>
      </w:r>
      <w:r>
        <w:rPr/>
        <w:t xml:space="preserve"> It is expected that granting the extraordinary medical placement will result in a cost savings to the state.</w:t>
      </w:r>
    </w:p>
    <w:p>
      <w:pPr>
        <w:spacing w:before="0" w:after="0" w:line="408" w:lineRule="exact"/>
        <w:ind w:left="0" w:right="0" w:firstLine="576"/>
        <w:jc w:val="left"/>
      </w:pPr>
      <w:r>
        <w:t>((</w:t>
      </w:r>
      <w:r>
        <w:rPr>
          <w:strike/>
        </w:rPr>
        <w:t xml:space="preserve">(b)</w:t>
      </w:r>
      <w:r>
        <w:t>))</w:t>
      </w:r>
      <w:r>
        <w:rPr>
          <w:u w:val="single"/>
        </w:rPr>
        <w:t xml:space="preserve">(ii)</w:t>
      </w:r>
      <w:r>
        <w:rPr/>
        <w:t xml:space="preserve"> An offender sentenced to death or to life imprisonment without the possibility of release or parole is not eligible for an extraordinary medical placement.</w:t>
      </w:r>
    </w:p>
    <w:p>
      <w:pPr>
        <w:spacing w:before="0" w:after="0" w:line="408" w:lineRule="exact"/>
        <w:ind w:left="0" w:right="0" w:firstLine="576"/>
        <w:jc w:val="left"/>
      </w:pPr>
      <w:r>
        <w:t>((</w:t>
      </w:r>
      <w:r>
        <w:rPr>
          <w:strike/>
        </w:rPr>
        <w:t xml:space="preserve">(c)</w:t>
      </w:r>
      <w:r>
        <w:t>))</w:t>
      </w:r>
      <w:r>
        <w:rPr>
          <w:u w:val="single"/>
        </w:rPr>
        <w:t xml:space="preserve">(iii)</w:t>
      </w:r>
      <w:r>
        <w:rPr/>
        <w:t xml:space="preserve">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t>((</w:t>
      </w:r>
      <w:r>
        <w:rPr>
          <w:strike/>
        </w:rPr>
        <w:t xml:space="preserve">(d)</w:t>
      </w:r>
      <w:r>
        <w:t>))</w:t>
      </w:r>
      <w:r>
        <w:rPr>
          <w:u w:val="single"/>
        </w:rPr>
        <w:t xml:space="preserve">(iv)</w:t>
      </w:r>
      <w:r>
        <w:rPr/>
        <w:t xml:space="preserve"> The secretary may revoke an extraordinary medical placement under this subsection </w:t>
      </w:r>
      <w:r>
        <w:rPr>
          <w:u w:val="single"/>
        </w:rPr>
        <w:t xml:space="preserve">(1)(c)</w:t>
      </w:r>
      <w:r>
        <w:rPr/>
        <w:t xml:space="preserve"> at any time.</w:t>
      </w:r>
    </w:p>
    <w:p>
      <w:pPr>
        <w:spacing w:before="0" w:after="0" w:line="408" w:lineRule="exact"/>
        <w:ind w:left="0" w:right="0" w:firstLine="576"/>
        <w:jc w:val="left"/>
      </w:pPr>
      <w:r>
        <w:t>((</w:t>
      </w:r>
      <w:r>
        <w:rPr>
          <w:strike/>
        </w:rPr>
        <w:t xml:space="preserve">(e)</w:t>
      </w:r>
      <w:r>
        <w:t>))</w:t>
      </w:r>
      <w:r>
        <w:rPr>
          <w:u w:val="single"/>
        </w:rPr>
        <w:t xml:space="preserve">(v)</w:t>
      </w:r>
      <w:r>
        <w:rPr/>
        <w:t xml:space="preserve"> Persistent offenders are not eligible for extraordinary medical placement;</w:t>
      </w:r>
    </w:p>
    <w:p>
      <w:pPr>
        <w:spacing w:before="0" w:after="0" w:line="408" w:lineRule="exact"/>
        <w:ind w:left="0" w:right="0" w:firstLine="576"/>
        <w:jc w:val="left"/>
      </w:pPr>
      <w:r>
        <w:t>((</w:t>
      </w:r>
      <w:r>
        <w:rPr>
          <w:strike/>
        </w:rPr>
        <w:t xml:space="preserve">(4)</w:t>
      </w:r>
      <w:r>
        <w:t>))</w:t>
      </w:r>
      <w:r>
        <w:rPr>
          <w:u w:val="single"/>
        </w:rPr>
        <w:t xml:space="preserve">(d)</w:t>
      </w:r>
      <w:r>
        <w:rPr/>
        <w:t xml:space="preserve">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t>((</w:t>
      </w:r>
      <w:r>
        <w:rPr>
          <w:strike/>
        </w:rPr>
        <w:t xml:space="preserve">(5)</w:t>
      </w:r>
      <w:r>
        <w:t>))</w:t>
      </w:r>
      <w:r>
        <w:rPr>
          <w:u w:val="single"/>
        </w:rPr>
        <w:t xml:space="preserve">(e)</w:t>
      </w:r>
      <w:r>
        <w:rPr/>
        <w:t xml:space="preserve">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t>((</w:t>
      </w:r>
      <w:r>
        <w:rPr>
          <w:strike/>
        </w:rPr>
        <w:t xml:space="preserve">(6)</w:t>
      </w:r>
      <w:r>
        <w:t>))</w:t>
      </w:r>
      <w:r>
        <w:rPr>
          <w:u w:val="single"/>
        </w:rPr>
        <w:t xml:space="preserve">(f)</w:t>
      </w:r>
      <w:r>
        <w:rPr/>
        <w:t xml:space="preserve"> The governor may pardon any offender;</w:t>
      </w:r>
    </w:p>
    <w:p>
      <w:pPr>
        <w:spacing w:before="0" w:after="0" w:line="408" w:lineRule="exact"/>
        <w:ind w:left="0" w:right="0" w:firstLine="576"/>
        <w:jc w:val="left"/>
      </w:pPr>
      <w:r>
        <w:t>((</w:t>
      </w:r>
      <w:r>
        <w:rPr>
          <w:strike/>
        </w:rPr>
        <w:t xml:space="preserve">(7)</w:t>
      </w:r>
      <w:r>
        <w:t>))</w:t>
      </w:r>
      <w:r>
        <w:rPr>
          <w:u w:val="single"/>
        </w:rPr>
        <w:t xml:space="preserve">(g)</w:t>
      </w:r>
      <w:r>
        <w:rPr/>
        <w:t xml:space="preserve"> The department may release an offender from confinement any time within ten days before a release date calculated under this section; </w:t>
      </w:r>
    </w:p>
    <w:p>
      <w:pPr>
        <w:spacing w:before="0" w:after="0" w:line="408" w:lineRule="exact"/>
        <w:ind w:left="0" w:right="0" w:firstLine="576"/>
        <w:jc w:val="left"/>
      </w:pPr>
      <w:r>
        <w:t>((</w:t>
      </w:r>
      <w:r>
        <w:rPr>
          <w:strike/>
        </w:rPr>
        <w:t xml:space="preserve">(8)</w:t>
      </w:r>
      <w:r>
        <w:t>))</w:t>
      </w:r>
      <w:r>
        <w:rPr>
          <w:u w:val="single"/>
        </w:rPr>
        <w:t xml:space="preserve">(h)</w:t>
      </w:r>
      <w:r>
        <w:rPr/>
        <w:t xml:space="preserve"> An offender may leave a correctional facility prior to completion of his or her sentence if the sentence has been reduced as provided in RCW 9.94A.870; and</w:t>
      </w:r>
    </w:p>
    <w:p>
      <w:pPr>
        <w:spacing w:before="0" w:after="0" w:line="408" w:lineRule="exact"/>
        <w:ind w:left="0" w:right="0" w:firstLine="576"/>
        <w:jc w:val="left"/>
      </w:pPr>
      <w:r>
        <w:t>((</w:t>
      </w:r>
      <w:r>
        <w:rPr>
          <w:strike/>
        </w:rPr>
        <w:t xml:space="preserve">(9)</w:t>
      </w:r>
      <w:r>
        <w:t>))</w:t>
      </w:r>
      <w:r>
        <w:rPr>
          <w:u w:val="single"/>
        </w:rPr>
        <w:t xml:space="preserve">(i)</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p>
    <w:p>
      <w:pPr>
        <w:spacing w:before="0" w:after="0" w:line="408" w:lineRule="exact"/>
        <w:ind w:left="0" w:right="0" w:firstLine="576"/>
        <w:jc w:val="left"/>
      </w:pPr>
      <w:r>
        <w:rPr>
          <w:u w:val="single"/>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2002 c 171 s 1 are each amended to read as follows:</w:t>
      </w:r>
    </w:p>
    <w:p>
      <w:pPr>
        <w:spacing w:before="0" w:after="0" w:line="408" w:lineRule="exact"/>
        <w:ind w:left="0" w:right="0" w:firstLine="576"/>
        <w:jc w:val="left"/>
      </w:pPr>
      <w:r>
        <w:rPr/>
        <w:t xml:space="preserve">(1) Whenever any child under the age of eighteen is convicted </w:t>
      </w:r>
      <w:r>
        <w:rPr>
          <w:u w:val="single"/>
        </w:rPr>
        <w:t xml:space="preserve">as an adult</w:t>
      </w:r>
      <w:r>
        <w:rPr/>
        <w:t xml:space="preserve"> in the courts of this state of a crime amounting to a felony, and is committed for a term of confinement </w:t>
      </w:r>
      <w:r>
        <w:t>((</w:t>
      </w:r>
      <w:r>
        <w:rPr>
          <w:strike/>
        </w:rPr>
        <w:t xml:space="preserve">in a correctional institution wherein adults are confined, the secretary of corrections, after making an independent assessment and evaluation of the child and determining that the needs and correctional goals for the child could better be met by the programs and housing environment provided by the juvenile correctional institution, with the consent of the secretary of social and health services, may transfer such child to a juvenile correctional institution</w:t>
      </w:r>
      <w:r>
        <w:t>))</w:t>
      </w:r>
      <w:r>
        <w:rPr/>
        <w:t xml:space="preserve">, </w:t>
      </w:r>
      <w:r>
        <w:rPr>
          <w:u w:val="single"/>
        </w:rPr>
        <w:t xml:space="preserve">that child shall be initially placed in a facility operated by the department of corrections to determine the child's earned release date.</w:t>
      </w:r>
    </w:p>
    <w:p>
      <w:pPr>
        <w:spacing w:before="0" w:after="0" w:line="408" w:lineRule="exact"/>
        <w:ind w:left="0" w:right="0" w:firstLine="576"/>
        <w:jc w:val="left"/>
      </w:pPr>
      <w:r>
        <w:rPr>
          <w:u w:val="single"/>
        </w:rPr>
        <w:t xml:space="preserve">(a) If the earned release date is prior to the child's twenty-first birthday, the department of corrections shall transfer the child to the custody of the department of social and health services,</w:t>
      </w:r>
      <w:r>
        <w:rPr/>
        <w:t xml:space="preserve"> or to such other institution as is now, or may hereafter be authorized by law to receive such child, until such time as the child </w:t>
      </w:r>
      <w:r>
        <w:rPr>
          <w:u w:val="single"/>
        </w:rPr>
        <w:t xml:space="preserve">completes the ordered term of confinement or</w:t>
      </w:r>
      <w:r>
        <w:rPr/>
        <w:t xml:space="preserve"> arrives at the age of twenty-one years</w:t>
      </w:r>
      <w:r>
        <w:t>((</w:t>
      </w:r>
      <w:r>
        <w:rPr>
          <w:strike/>
        </w:rPr>
        <w:t xml:space="preserve">, whereupon the child shall be returned to the institution of original commitment. Retention within a juvenile detention facility or return to an adult correctional facility shall regularly be reviewed by the secretary of corrections and the secretary of social and health services with a determination made based on the level of maturity and sophistication of the individual, the behavior and progress while within the juvenile detention facility, security needs, and the program/treatment alternatives which would best prepare the individual for a successful return to the community. Notice of such transfers shall be given to the clerk of the committing court and the parents, guardian, or next of kin of such child, if known</w:t>
      </w:r>
      <w:r>
        <w:t>))</w:t>
      </w:r>
      <w:r>
        <w:rPr>
          <w:u w:val="single"/>
        </w:rPr>
        <w:t xml:space="preserve">.</w:t>
      </w:r>
    </w:p>
    <w:p>
      <w:pPr>
        <w:spacing w:before="0" w:after="0" w:line="408" w:lineRule="exact"/>
        <w:ind w:left="0" w:right="0" w:firstLine="576"/>
        <w:jc w:val="left"/>
      </w:pPr>
      <w:r>
        <w:rPr>
          <w:u w:val="single"/>
        </w:rPr>
        <w:t xml:space="preserve">(i) While in the custody of the department of social and health services,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social and health services. The youth shall only be transferred back to the custody of the department of corrections with the approval of the department of social and health services or when the child reaches the age of twenty-one.</w:t>
      </w:r>
    </w:p>
    <w:p>
      <w:pPr>
        <w:spacing w:before="0" w:after="0" w:line="408" w:lineRule="exact"/>
        <w:ind w:left="0" w:right="0" w:firstLine="576"/>
        <w:jc w:val="left"/>
      </w:pPr>
      <w:r>
        <w:rPr>
          <w:u w:val="single"/>
        </w:rPr>
        <w:t xml:space="preserve">(ii) If the child's sentence includes a term of community custody, the department of social and health services shall not release the child to community custody until the department of corrections has approved the child's release plan pursuant to RCW 9.94A.729(5)(b). If a child is held past his or her earned release date pending release plan approval, the department of social and health services shall retain custody until a plan is approved or the child completes the ordered term of confinement prior to age twenty-one.</w:t>
      </w:r>
    </w:p>
    <w:p>
      <w:pPr>
        <w:spacing w:before="0" w:after="0" w:line="408" w:lineRule="exact"/>
        <w:ind w:left="0" w:right="0" w:firstLine="576"/>
        <w:jc w:val="left"/>
      </w:pPr>
      <w:r>
        <w:rPr>
          <w:u w:val="single"/>
        </w:rPr>
        <w:t xml:space="preserve">(iii) If the department of social and health services determines that retaining custody of the child presents a safety risk, the child may be returned to the custody of the department of corrections.</w:t>
      </w:r>
    </w:p>
    <w:p>
      <w:pPr>
        <w:spacing w:before="0" w:after="0" w:line="408" w:lineRule="exact"/>
        <w:ind w:left="0" w:right="0" w:firstLine="576"/>
        <w:jc w:val="left"/>
      </w:pPr>
      <w:r>
        <w:rPr>
          <w:u w:val="single"/>
        </w:rPr>
        <w:t xml:space="preserve">(b) If the child's earned release date is on or after the child's twenty-first birthday, the department of corrections shall, with the consent of the secretary of social and health services, transfer the child to a facility or institution operated by the department of social and health services. Despite the transfer, the department of corrections retains authority over custody decisions and must approve any leave from the facility.</w:t>
      </w:r>
      <w:r>
        <w:rPr>
          <w:u w:val="single"/>
        </w:rPr>
        <w:t xml:space="preserve"> When the child turns age twenty-one, he or she must be transferred back to the department of corrections. The department of social and health services has all routine and day-to-day operations authority for the child while in its custody</w:t>
      </w:r>
      <w:r>
        <w:rPr/>
        <w:t xml:space="preserve">.</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w:t>
      </w:r>
      <w:r>
        <w:t>((</w:t>
      </w:r>
      <w:r>
        <w:rPr>
          <w:strike/>
        </w:rPr>
        <w:t xml:space="preserve">shall</w:t>
      </w:r>
      <w:r>
        <w:t>))</w:t>
      </w:r>
      <w:r>
        <w:rPr>
          <w:u w:val="single"/>
        </w:rPr>
        <w:t xml:space="preserve">must</w:t>
      </w:r>
      <w:r>
        <w:rPr/>
        <w:t xml:space="preserve"> be kept physically separate from other offenders at all times.</w:t>
      </w:r>
    </w:p>
    <w:p/>
    <w:p>
      <w:pPr>
        <w:jc w:val="center"/>
      </w:pPr>
      <w:r>
        <w:rPr>
          <w:b/>
        </w:rPr>
        <w:t>--- END ---</w:t>
      </w:r>
    </w:p>
    <w:sectPr>
      <w:pgNumType w:start="1"/>
      <w:footerReference xmlns:r="http://schemas.openxmlformats.org/officeDocument/2006/relationships" r:id="Red9f8e6671f04b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4f4ff6fdc4dae" /><Relationship Type="http://schemas.openxmlformats.org/officeDocument/2006/relationships/footer" Target="/word/footer.xml" Id="Red9f8e6671f04b32" /></Relationships>
</file>