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3e46c3073c44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1641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1641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Blake, Lytton, and Tharinger</w:t>
      </w:r>
    </w:p>
    <w:p/>
    <w:p>
      <w:r>
        <w:rPr>
          <w:t xml:space="preserve">Read first time 01/26/15.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shellfish to the list of species types listed in RCW 77.15.260(1)(a); and amending RCW 77.15.260.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t>((</w:t>
      </w:r>
      <w:r>
        <w:rPr>
          <w:strike/>
        </w:rPr>
        <w:t xml:space="preserve">[, shellfish,]</w:t>
      </w:r>
      <w:r>
        <w:t>))</w:t>
      </w:r>
      <w:r>
        <w:rPr>
          <w:u w:val="single"/>
        </w:rPr>
        <w:t xml:space="preserve">, shellfish,</w:t>
      </w:r>
      <w:r>
        <w:rPr/>
        <w:t xml:space="preserve"> or wildlife is classified as game, food fish, shellfish, game fish, or protected wildlife and the trafficking is not authorized by statute or department rule; or</w:t>
      </w:r>
    </w:p>
    <w:p>
      <w:pPr>
        <w:spacing w:before="0" w:after="0" w:line="408" w:lineRule="exact"/>
        <w:ind w:left="0" w:right="0" w:firstLine="576"/>
        <w:jc w:val="left"/>
      </w:pPr>
      <w:r>
        <w:rPr/>
        <w:t xml:space="preserve">(b) The fish, shellfish, or wildlife is unclassified and the trafficking violates any department rule.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
      <w:pPr>
        <w:jc w:val="center"/>
      </w:pPr>
      <w:r>
        <w:rPr>
          <w:b/>
        </w:rPr>
        <w:t>--- END ---</w:t>
      </w:r>
    </w:p>
    <w:sectPr>
      <w:pgNumType w:start="1"/>
      <w:footerReference xmlns:r="http://schemas.openxmlformats.org/officeDocument/2006/relationships" r:id="R57fd0fb1a0ff4a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b2116a4054b97" /><Relationship Type="http://schemas.openxmlformats.org/officeDocument/2006/relationships/footer" Target="/word/footer.xml" Id="R57fd0fb1a0ff4a06" /></Relationships>
</file>