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3fa52d65154ee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1570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54</w:t>
            </w:r>
            <w:r>
              <w:t xml:space="preserve">  Nays </w:t>
              <w:t xml:space="preserve">44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2015</w:t>
            </w:r>
          </w:p>
          <w:p>
            <w:pPr>
              <w:ind w:left="0" w:right="0" w:firstLine="360"/>
            </w:pPr>
            <w:r>
              <w:t xml:space="preserve">Yeas </w:t>
              <w:t xml:space="preserve">37</w:t>
            </w:r>
            <w:r>
              <w:t xml:space="preserve">  Nays </w:t>
              <w:t xml:space="preserve">8</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1570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1570</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House Education (originally sponsored by Representatives Gregory, Bergquist, S. Hunt, Reykdal, Kilduff, Ortiz-Self, and Pollet; by request of Governor Inslee)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flexibility for the educator retooling conditional scholarship program; and amending RCW 28A.660.045 and 28A.660.050.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045</w:t>
      </w:r>
      <w:r>
        <w:rPr/>
        <w:t xml:space="preserve"> and 2015 1st sp.s. c 3 s 3 are each amended to read as follows:</w:t>
      </w:r>
    </w:p>
    <w:p>
      <w:pPr>
        <w:spacing w:before="0" w:after="0" w:line="408" w:lineRule="exact"/>
        <w:ind w:left="0" w:right="0" w:firstLine="576"/>
        <w:jc w:val="left"/>
      </w:pPr>
      <w:r>
        <w:rPr/>
        <w:t xml:space="preserve">(1) The educator retooling conditional scholarship program is created. 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an endorsement in two years or less.</w:t>
      </w:r>
    </w:p>
    <w:p>
      <w:pPr>
        <w:spacing w:before="0" w:after="0" w:line="408" w:lineRule="exact"/>
        <w:ind w:left="0" w:right="0" w:firstLine="576"/>
        <w:jc w:val="left"/>
      </w:pPr>
      <w:r>
        <w:rPr/>
        <w:t xml:space="preserve">(2) Entry requirements for candidates include:</w:t>
      </w:r>
    </w:p>
    <w:p>
      <w:pPr>
        <w:spacing w:before="0" w:after="0" w:line="408" w:lineRule="exact"/>
        <w:ind w:left="0" w:right="0" w:firstLine="576"/>
        <w:jc w:val="left"/>
      </w:pPr>
      <w:r>
        <w:rPr/>
        <w:t xml:space="preserve">(a) Current K-12 teachers shall pursue an endorsement in a subject or geographic endorsement shortage area, as defined by the professional educator standards board</w:t>
      </w:r>
      <w:r>
        <w:rPr>
          <w:u w:val="single"/>
        </w:rPr>
        <w:t xml:space="preserve">, including but not limited to, mathematics, science, special education, bilingual education, English language learner, computer science education, or environmental and sustainability education</w:t>
      </w:r>
      <w:r>
        <w:rPr/>
        <w:t xml:space="preserve">.</w:t>
      </w:r>
    </w:p>
    <w:p>
      <w:pPr>
        <w:spacing w:before="0" w:after="0" w:line="408" w:lineRule="exact"/>
        <w:ind w:left="0" w:right="0" w:firstLine="576"/>
        <w:jc w:val="left"/>
      </w:pPr>
      <w:r>
        <w:rPr/>
        <w:t xml:space="preserve">(b) Individuals having an elementary education certificate but who are not employed in positions requiring an elementary education certificate shall pursue an endorsement in a subject or geographic endorsement shortage area, as defined by the professional educator standards board</w:t>
      </w:r>
      <w:r>
        <w:rPr>
          <w:u w:val="single"/>
        </w:rPr>
        <w:t xml:space="preserve">, including but not limited to, mathematics, science, special education, bilingual education, English language learner, computer science education, or environmental and sustainability education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2015 1st sp.s. c 3 s 4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w:t>
      </w:r>
      <w:r>
        <w:rPr>
          <w:u w:val="single"/>
        </w:rPr>
        <w:t xml:space="preserve">, including but not limited to, mathematics, science, special education, bilingual education, English language learner, computer science education, or environmental and sustainability education</w:t>
      </w:r>
      <w:r>
        <w:rPr/>
        <w:t xml:space="preserve">;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w:t>
      </w:r>
      <w:r>
        <w:rPr>
          <w:u w:val="single"/>
        </w:rPr>
        <w:t xml:space="preserve">, including but not limited to, mathematics, science, special education, bilingual education, English language learner, computer science education, or environmental and sustainability education</w:t>
      </w:r>
      <w:r>
        <w:rPr/>
        <w:t xml:space="preserve">;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w:t>
      </w:r>
      <w:r>
        <w:rPr>
          <w:u w:val="single"/>
        </w:rPr>
        <w:t xml:space="preserve">, including but not limited to, mathematics, science, special education, bilingual education, English language learner, computer science education, or environmental and sustainability education</w:t>
      </w:r>
      <w:r>
        <w:rPr/>
        <w:t xml:space="preserve">,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w:t>
      </w:r>
      <w:r>
        <w:rPr>
          <w:u w:val="single"/>
        </w:rPr>
        <w:t xml:space="preserve">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
      <w:pPr>
        <w:jc w:val="center"/>
      </w:pPr>
      <w:r>
        <w:rPr>
          <w:b/>
        </w:rPr>
        <w:t>--- END ---</w:t>
      </w:r>
    </w:p>
    <w:sectPr>
      <w:pgNumType w:start="1"/>
      <w:footerReference xmlns:r="http://schemas.openxmlformats.org/officeDocument/2006/relationships" r:id="R742e174ed4df4c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1570.PL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28cf03b5cd4928" /><Relationship Type="http://schemas.openxmlformats.org/officeDocument/2006/relationships/footer" Target="/word/footer.xml" Id="R742e174ed4df4cee" /></Relationships>
</file>