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9b45cae39e4a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1554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11,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1554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1554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Stambaugh, S. Hunt, Holy, Zeiger, Scott, G. Hunt, Bergquist, Condotta, Ormsby, and Young</w:t>
      </w:r>
    </w:p>
    <w:p/>
    <w:p>
      <w:r>
        <w:rPr>
          <w:t xml:space="preserve">Read first time 01/22/15.  </w:t>
        </w:rPr>
      </w:r>
      <w:r>
        <w:rPr>
          <w:t xml:space="preserve">Referred to Committee on State Government.</w:t>
        </w:rPr>
      </w:r>
    </w:p>
    <w:p>
      <w:r>
        <w:br/>
      </w:r>
    </w:p>
    <w:p>
      <w:r>
        <w:fldChar w:fldCharType="begin"/>
      </w:r>
      <w:r>
        <w:instrText xml:space="default"> ADVANCE \y328 </w:instrText>
      </w:r>
      <w:r>
        <w:fldChar w:fldCharType="end"/>
      </w:r>
    </w:p>
    <w:p>
      <w:pPr>
        <w:ind w:left="0" w:right="0" w:firstLine="360"/>
        <w:jc w:val="both"/>
      </w:pPr>
      <w:r>
        <w:rPr/>
        <w:t xml:space="preserve">AN ACT Relating to exempting information of guardians or family members of children enrolled in child care, early learning, parks and recreation, after-school, and youth development programs; and amending RCW 42.56.230.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ind w:left="0" w:right="0" w:firstLine="360"/>
        <w:jc w:val="both"/>
      </w:pPr>
      <w:r>
        <w:rPr/>
        <w:t xml:space="preserve">The following personal information is exempt from public inspection and copying under this chapter:</w:t>
      </w:r>
    </w:p>
    <w:p>
      <w:pPr>
        <w:ind w:left="0" w:right="0" w:firstLine="360"/>
        <w:jc w:val="both"/>
      </w:pPr>
      <w:r>
        <w:rPr/>
        <w:t xml:space="preserve">(1) Personal information in any files maintained for students in public schools, patients or clients of public institutions or public health agencies, or welfare recipients;</w:t>
      </w:r>
    </w:p>
    <w:p>
      <w:pPr>
        <w:ind w:left="0" w:right="0" w:firstLine="360"/>
        <w:jc w:val="both"/>
      </w:pPr>
      <w:r>
        <w:rPr/>
        <w:t xml:space="preserve">(2)(a) Personal information:</w:t>
      </w:r>
    </w:p>
    <w:p>
      <w:pPr>
        <w:ind w:left="0" w:right="0" w:firstLine="360"/>
        <w:jc w:val="both"/>
      </w:pPr>
      <w:r>
        <w:rPr/>
        <w:t xml:space="preserve">(i) For a child enrolled in licensed child care in any files maintained by the department of early learning; </w:t>
      </w:r>
      <w:r>
        <w:t>((</w:t>
      </w:r>
      <w:r>
        <w:rPr>
          <w:strike/>
        </w:rPr>
        <w:t xml:space="preserve">or</w:t>
      </w:r>
      <w:r>
        <w:t>))</w:t>
      </w:r>
    </w:p>
    <w:p>
      <w:pPr>
        <w:ind w:left="0" w:right="0" w:firstLine="360"/>
        <w:jc w:val="both"/>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r>
        <w:rPr>
          <w:u w:val="single"/>
        </w:rPr>
        <w:t xml:space="preserve">; or</w:t>
      </w:r>
    </w:p>
    <w:p>
      <w:pPr>
        <w:ind w:left="0" w:right="0" w:firstLine="360"/>
        <w:jc w:val="both"/>
      </w:pPr>
      <w:r>
        <w:rPr>
          <w:u w:val="single"/>
        </w:rPr>
        <w:t xml:space="preserve">(iii) For the family members or guardians of a child who is subject to the exemption under this subsection (2) if the family member or guardian has the same last name of the child or if the family member or guardian resides at the same address of the child and disclosure of the family member's or guardian's information would result in disclosure of the personal information exempted under (a)(i) and (ii) of this subsection</w:t>
      </w:r>
      <w:r>
        <w:rPr/>
        <w:t xml:space="preserve">.</w:t>
      </w:r>
    </w:p>
    <w:p>
      <w:pPr>
        <w:ind w:left="0" w:right="0" w:firstLine="360"/>
        <w:jc w:val="both"/>
      </w:pPr>
      <w:r>
        <w:rPr/>
        <w:t xml:space="preserve">(b) Emergency contact information under this subsection (2) may be provided to appropriate authorities and medical personnel for the purpose of treating the individual during an emergency situation;</w:t>
      </w:r>
    </w:p>
    <w:p>
      <w:pPr>
        <w:ind w:left="0" w:right="0" w:firstLine="360"/>
        <w:jc w:val="both"/>
      </w:pPr>
      <w:r>
        <w:rPr/>
        <w:t xml:space="preserve">(3) Personal information in files maintained for employees, appointees, or elected officials of any public agency to the extent that disclosure would violate their right to privacy;</w:t>
      </w:r>
    </w:p>
    <w:p>
      <w:pPr>
        <w:ind w:left="0" w:right="0" w:firstLine="360"/>
        <w:jc w:val="both"/>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ind w:left="0" w:right="0" w:firstLine="360"/>
        <w:jc w:val="both"/>
      </w:pPr>
      <w:r>
        <w:rPr/>
        <w:t xml:space="preserve">(5) Credit card numbers, debit card numbers, electronic check numbers, card expiration dates, or bank or other financial account numbers, except when disclosure is expressly required by or governed by other law;</w:t>
      </w:r>
    </w:p>
    <w:p>
      <w:pPr>
        <w:ind w:left="0" w:right="0" w:firstLine="360"/>
        <w:jc w:val="both"/>
      </w:pPr>
      <w:r>
        <w:rPr/>
        <w:t xml:space="preserve">(6) Personal and financial information related to a small loan or any system of authorizing a small loan in RCW 31.45.093; </w:t>
      </w:r>
    </w:p>
    <w:p>
      <w:pPr>
        <w:ind w:left="0" w:right="0" w:firstLine="360"/>
        <w:jc w:val="both"/>
      </w:pPr>
      <w:r>
        <w:rPr/>
        <w:t xml:space="preserve">(7)(a) Any record used to prove identity, age, residential address, social security number, or other personal information required to apply for a driver's license or identicard.</w:t>
      </w:r>
    </w:p>
    <w:p>
      <w:pPr>
        <w:ind w:left="0" w:right="0" w:firstLine="360"/>
        <w:jc w:val="both"/>
      </w:pPr>
      <w:r>
        <w:rPr/>
        <w:t xml:space="preserve">(b) Information provided under RCW 46.20.111 that indicates that an applicant declined to register with the selective service system.</w:t>
      </w:r>
    </w:p>
    <w:p>
      <w:pPr>
        <w:ind w:left="0" w:right="0" w:firstLine="360"/>
        <w:jc w:val="both"/>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ind w:left="0" w:right="0" w:firstLine="360"/>
        <w:jc w:val="both"/>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and</w:t>
      </w:r>
    </w:p>
    <w:p>
      <w:pPr>
        <w:ind w:left="0" w:right="0" w:firstLine="360"/>
        <w:jc w:val="both"/>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ind w:left="0" w:right="0" w:firstLine="360"/>
        <w:jc w:val="both"/>
      </w:pPr>
      <w:r>
        <w:rPr/>
        <w:t xml:space="preserve">Upon request by the legislature, the department of licensing shall provide a report to the legislature containing all of the information in subsection (7)(c) and (d) of this section that is subject to public disclosure.</w:t>
      </w:r>
    </w:p>
    <w:p/>
    <w:p>
      <w:pPr>
        <w:jc w:val="center"/>
      </w:pPr>
      <w:r>
        <w:rPr>
          <w:b/>
        </w:rPr>
        <w:t>--- END ---</w:t>
      </w:r>
    </w:p>
    <w:sectPr>
      <w:pgNumType w:start="1"/>
      <w:footerReference xmlns:r="http://schemas.openxmlformats.org/officeDocument/2006/relationships" r:id="R582d761ba1e84e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653e37ffd74c5a" /><Relationship Type="http://schemas.openxmlformats.org/officeDocument/2006/relationships/footer" Target="/word/footer.xml" Id="R582d761ba1e84e06" /></Relationships>
</file>