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f8409731946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FOURTH SUBSTITUTE HOUSE BILL 1541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59</w:t>
            </w:r>
            <w:r>
              <w:t xml:space="preserve">  Nays </w:t>
              <w:t xml:space="preserve">38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38</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FOURTH SUBSTITUTE HOUSE BILL 1541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FOURTH SUBSTITUTE HOUSE BILL 1541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Santos, Ortiz-Self, Tharinger, Moscoso, Orwall, and Gregerson)</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28A.600.490, 28A.600.015, 28A.600.020, 28A.600.022, 43.41.400, 28A.405.106, 28A.405.120, 28A.180.040, 28A.180.090, 28A.300.042, 28A.300.505, 28A.300.507, 28A.165.035,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and enforce discipline policies and procedures consistent with the model policy by the beginning of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subject to the availability of amounts appropriated for this specific purpose,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Any imposition of discretionary and nondiscretionary discipline is subject to the bar on suspending the provision of educational services pursuant to subsection (8) of this section.</w:t>
      </w:r>
    </w:p>
    <w:p>
      <w:pPr>
        <w:spacing w:before="0" w:after="0" w:line="408" w:lineRule="exact"/>
        <w:ind w:left="0" w:right="0" w:firstLine="576"/>
        <w:jc w:val="left"/>
      </w:pPr>
      <w:r>
        <w:rPr>
          <w:u w:val="single"/>
        </w:rPr>
        <w:t xml:space="preserve">(6)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w:t>
      </w:r>
    </w:p>
    <w:p>
      <w:pPr>
        <w:spacing w:before="0" w:after="0" w:line="408" w:lineRule="exact"/>
        <w:ind w:left="0" w:right="0" w:firstLine="576"/>
        <w:jc w:val="left"/>
      </w:pPr>
      <w:r>
        <w:rPr>
          <w:u w:val="single"/>
        </w:rPr>
        <w:t xml:space="preserve">(c) Two or more violations of RCW 9A.46.120, 9.41.280, 28A.600.455, 28A.635.020, or 28A.635.060 within a three-year period; or</w:t>
      </w:r>
    </w:p>
    <w:p>
      <w:pPr>
        <w:spacing w:before="0" w:after="0" w:line="408" w:lineRule="exact"/>
        <w:ind w:left="0" w:right="0" w:firstLine="576"/>
        <w:jc w:val="left"/>
      </w:pPr>
      <w:r>
        <w:rPr>
          <w:u w:val="single"/>
        </w:rPr>
        <w:t xml:space="preserve">(d) Behavior that adversely impacts the health or safety of other students or educational staff</w:t>
      </w:r>
      <w:r>
        <w:rPr>
          <w:u w:val="single"/>
        </w:rPr>
        <w:t xml:space="preserve">.</w:t>
      </w:r>
    </w:p>
    <w:p>
      <w:pPr>
        <w:spacing w:before="0" w:after="0" w:line="408" w:lineRule="exact"/>
        <w:ind w:left="0" w:right="0" w:firstLine="576"/>
        <w:jc w:val="left"/>
      </w:pPr>
      <w:r>
        <w:rPr>
          <w:u w:val="single"/>
        </w:rPr>
        <w:t xml:space="preserve">(7) Except as provided in RCW 28A.600.420, school districts are not required to impose long-term suspension or expulsion for behavior that constitutes a violation or offense listed under subsection (6)(a) through (d) of this section and should first consider alternative actions.</w:t>
      </w:r>
    </w:p>
    <w:p>
      <w:pPr>
        <w:spacing w:before="0" w:after="0" w:line="408" w:lineRule="exact"/>
        <w:ind w:left="0" w:right="0" w:firstLine="576"/>
        <w:jc w:val="left"/>
      </w:pPr>
      <w:r>
        <w:rPr>
          <w:u w:val="single"/>
        </w:rPr>
        <w:t xml:space="preserve">(8)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rPr>
          <w:u w:val="single"/>
        </w:rPr>
        <w:t xml:space="preserve">(9) Nothing in this section creates any civil liability for school districts, or creates a new cause of action or new theory of negligence against a school district board of directors, a school district, or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Subject to funds appropriated specifically for this purpose, 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by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August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 </w:t>
      </w:r>
      <w:r>
        <w:t>((</w:t>
      </w:r>
      <w:r>
        <w:rPr>
          <w:strike/>
        </w:rPr>
        <w:t xml:space="preserve">to the extent funds are appropriated</w:t>
      </w:r>
      <w:r>
        <w:t>))</w:t>
      </w:r>
      <w:r>
        <w:rPr/>
        <w:t xml:space="preserve"> </w:t>
      </w:r>
      <w:r>
        <w:rPr>
          <w:u w:val="single"/>
        </w:rPr>
        <w:t xml:space="preserve">subject to the availability of amounts appropriated for this specific purpose</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 </w:t>
      </w:r>
      <w:r>
        <w:t>((</w:t>
      </w:r>
      <w:r>
        <w:rPr>
          <w:strike/>
        </w:rPr>
        <w:t xml:space="preserve">to the extent funds are appropriated for this purpose</w:t>
      </w:r>
      <w:r>
        <w:t>))</w:t>
      </w:r>
      <w:r>
        <w:rPr/>
        <w:t xml:space="preserve"> </w:t>
      </w:r>
      <w:r>
        <w:rPr>
          <w:u w:val="single"/>
        </w:rPr>
        <w:t xml:space="preserve">subject to the availability of amounts appropriated for this specific purpose</w:t>
      </w:r>
      <w:r>
        <w:rPr/>
        <w:t xml:space="preserve">, and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
      <w:pPr>
        <w:jc w:val="center"/>
      </w:pPr>
      <w:r>
        <w:rPr>
          <w:b/>
        </w:rPr>
        <w:t>--- END ---</w:t>
      </w:r>
    </w:p>
    <w:sectPr>
      <w:pgNumType w:start="1"/>
      <w:footerReference xmlns:r="http://schemas.openxmlformats.org/officeDocument/2006/relationships" r:id="R2eac906ac8324c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1541.PL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0a7310a2fe42c1" /><Relationship Type="http://schemas.openxmlformats.org/officeDocument/2006/relationships/footer" Target="/word/footer.xml" Id="R2eac906ac8324c35" /></Relationships>
</file>