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8c599425534c7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1448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94</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SECOND SUBSTITUTE HOUSE BILL 1448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1448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Judiciary (originally sponsored by Representatives Riccelli, Holy, Parker, Ormsby, Caldier, Hayes, Jinkins, Walkinshaw, Gregerson, Appleton, Ryu, McBride, and Shea)</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procedures for responding to reports of threatened or attempted suicide; amending RCW 71.05.120; adding new sections to chapter 71.05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law enforcement officers may respond to situations in which an individual has threatened harm to himself or herself, but that individual does not meet the criteria to be taken into custody for an evaluation under the involuntary treatment act. In these situations, officers are encouraged to facilitate contact between the individual and a mental health professional in order to protect the individual and the community. While the legislature acknowledges that some law enforcement officers receive mental health training, law enforcement officers are not mental health professionals. It is the intent of the legislature that mental health incidents are addressed by mental health professionals.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When funded, the Washington association of sheriffs and police chiefs, in consultation with the criminal justice training commission, must develop and adopt a model policy for use by law enforcement agencies relating to a law enforcement officer's referral of a person to a mental health agency after receiving a report of threatened or attempted suicide. The model policy must complement the criminal justice training commission's crisis intervention training curriculum.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By July 1, 2017, all general authority Washington law enforcement agencies must adopt a policy establishing criteria and procedures for a law enforcement officer to refer a person to a mental health agency after receiving a report of threatened or attempted suicide.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2000 c 94 s 4 are each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county designated mental health professional, nor the state, a unit of local government, or an evaluation and treatment facility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w:t>
      </w:r>
      <w:r>
        <w:rPr>
          <w:u w:val="single"/>
        </w:rPr>
        <w:t xml:space="preserve">Peace officers and their employing agencies are not liable for the referral of a person, or the failure to refer a person, to a mental health agency pursuant to a policy adopted pursuant to section 3 of this act if such action or inaction is taken in good faith and without gross negligence.</w:t>
      </w:r>
    </w:p>
    <w:p>
      <w:pPr>
        <w:spacing w:before="0" w:after="0" w:line="408" w:lineRule="exact"/>
        <w:ind w:left="0" w:right="0" w:firstLine="576"/>
        <w:jc w:val="left"/>
      </w:pPr>
      <w:r>
        <w:rPr>
          <w:u w:val="single"/>
        </w:rPr>
        <w:t xml:space="preserve">(3)</w:t>
      </w:r>
      <w:r>
        <w:rPr/>
        <w:t xml:space="preserve"> This section does not relieve a person from giving the required notices under RCW 71.05.330(2) or 71.05.340(1)(b),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As soon as possible, but no later than twenty-four hours from receiving a referral from a law enforcement officer or law enforcement agency, excluding Saturdays, Sundays, and holidays, a mental health professional contacted by the designated mental health professional agency must attempt to contact the referred person to determine whether additional mental health intervention is necessary including, if needed, an assessment by a designated mental health professional for initial detention under RCW 71.05.150 or 71.05.153. Documentation of the mental health professional's attempt to contact and assess the person must be maintained by the designated mental health professional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3f13e53962d44f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1448.PL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ea950d29e74dc1" /><Relationship Type="http://schemas.openxmlformats.org/officeDocument/2006/relationships/footer" Target="/word/footer.xml" Id="R3f13e53962d44f07" /></Relationships>
</file>