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7d3196c51f4b5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HOUSE BILL 1276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88</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38</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SECOND SUBSTITUTE HOUSE BILL 1276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HOUSE BILL 1276</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Klippert, Goodman, Hayes, Orwall, Moscoso, Pettigrew, Zeiger, Kilduff, and Fey)</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impaired driving; amending RCW 10.21.055, 46.20.385, 46.20.740, 46.20.308, 46.20.750, 46.25.120, 46.61.5055, 46.01.260, 43.43.395, 46.52.130, 9.94A.589, 46.61.503, 46.20.755, 36.28A.320, 36.28A.330, 36.28A.370, 36.28A.390, 10.21.015, 46.61.506, 46.61.508, 46.61.504, and 18.360.030; adding a new section to chapter 46.61 RCW; adding a new section to chapter 18.130 RCW; creating a new section;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ind w:left="0" w:right="0" w:firstLine="360"/>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ind w:left="0" w:right="0" w:firstLine="360"/>
        <w:jc w:val="both"/>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t xml:space="preserve"> </w:t>
      </w:r>
      <w:r>
        <w:rPr>
          <w:u w:val="single"/>
        </w:rPr>
        <w:t xml:space="preserve">comply with one of the following four requirements:</w:t>
      </w:r>
    </w:p>
    <w:p>
      <w:pPr>
        <w:ind w:left="0" w:right="0" w:firstLine="360"/>
        <w:jc w:val="both"/>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 </w:t>
      </w:r>
      <w:r>
        <w:t>((</w:t>
      </w:r>
      <w:r>
        <w:rPr>
          <w:strike/>
        </w:rPr>
        <w:t xml:space="preserve">(b)</w:t>
      </w:r>
      <w:r>
        <w:t>))</w:t>
      </w:r>
    </w:p>
    <w:p>
      <w:pPr>
        <w:ind w:left="0" w:right="0" w:firstLine="360"/>
        <w:jc w:val="both"/>
      </w:pPr>
      <w:r>
        <w:rPr>
          <w:u w:val="single"/>
        </w:rPr>
        <w:t xml:space="preserve">(ii) C</w:t>
      </w:r>
      <w:r>
        <w:rPr/>
        <w:t xml:space="preserve">omply with 24/7 sobriety program monitoring, as defined in RCW 36.28A.330; or </w:t>
      </w:r>
      <w:r>
        <w:t>((</w:t>
      </w:r>
      <w:r>
        <w:rPr>
          <w:strike/>
        </w:rPr>
        <w:t xml:space="preserve">both</w:t>
      </w:r>
      <w:r>
        <w:t>))</w:t>
      </w:r>
    </w:p>
    <w:p>
      <w:pPr>
        <w:ind w:left="0" w:right="0" w:firstLine="360"/>
        <w:jc w:val="both"/>
      </w:pPr>
      <w:r>
        <w:rPr>
          <w:u w:val="single"/>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ind w:left="0" w:right="0" w:firstLine="360"/>
        <w:jc w:val="both"/>
      </w:pPr>
      <w:r>
        <w:rPr>
          <w:u w:val="single"/>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r>
        <w:rPr/>
        <w:t xml:space="preserve">.</w:t>
      </w:r>
    </w:p>
    <w:p>
      <w:pPr>
        <w:ind w:left="0" w:right="0" w:firstLine="360"/>
        <w:jc w:val="both"/>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ind w:left="0" w:right="0" w:firstLine="360"/>
        <w:jc w:val="both"/>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ind w:left="0" w:right="0" w:firstLine="360"/>
        <w:jc w:val="both"/>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ind w:left="0" w:right="0" w:firstLine="360"/>
        <w:jc w:val="both"/>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ind w:left="0" w:right="0" w:firstLine="360"/>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ind w:left="0" w:right="0" w:firstLine="360"/>
        <w:jc w:val="both"/>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ind w:left="0" w:right="0" w:firstLine="360"/>
        <w:jc w:val="both"/>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ind w:left="0" w:right="0" w:firstLine="360"/>
        <w:jc w:val="both"/>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ind w:left="0" w:right="0" w:firstLine="360"/>
        <w:jc w:val="both"/>
      </w:pPr>
      <w:r>
        <w:rPr>
          <w:u w:val="single"/>
        </w:rPr>
        <w:t xml:space="preserve">(3) Any sentence imposed for a violation of subsection (2) of this section shall be served consecutively with any sentence imposed under RCW 46.20.750, 46.61.502, 46.61.504, or 46.61.5055.</w:t>
      </w:r>
    </w:p>
    <w:p>
      <w:pPr>
        <w:ind w:left="0" w:right="0" w:firstLine="360"/>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ind w:left="0" w:right="0" w:firstLine="360"/>
        <w:jc w:val="both"/>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ind w:left="0" w:right="0" w:firstLine="360"/>
        <w:jc w:val="both"/>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ind w:left="0" w:right="0" w:firstLine="360"/>
        <w:jc w:val="both"/>
      </w:pPr>
      <w:r>
        <w:rPr/>
        <w:t xml:space="preserve">(a) If the driver refuses to take the test, the driver's license, permit, or privilege to drive will be revoked or denied for at least one year; and</w:t>
      </w:r>
    </w:p>
    <w:p>
      <w:pPr>
        <w:ind w:left="0" w:right="0" w:firstLine="360"/>
        <w:jc w:val="both"/>
      </w:pPr>
      <w:r>
        <w:rPr/>
        <w:t xml:space="preserve">(b) If the driver refuses to take the test, the driver's refusal to take the test may be used in a criminal trial; and</w:t>
      </w:r>
    </w:p>
    <w:p>
      <w:pPr>
        <w:ind w:left="0" w:right="0" w:firstLine="360"/>
        <w:jc w:val="both"/>
      </w:pPr>
      <w:r>
        <w:rPr/>
        <w:t xml:space="preserve">(c) If the driver submits to the test and the test is administered, the driver's license, permit, or privilege to drive will be suspended, revoked, or denied for at least ninety days if:</w:t>
      </w:r>
    </w:p>
    <w:p>
      <w:pPr>
        <w:ind w:left="0" w:right="0" w:firstLine="360"/>
        <w:jc w:val="both"/>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ind w:left="0" w:right="0" w:firstLine="360"/>
        <w:jc w:val="both"/>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ind w:left="0" w:right="0" w:firstLine="360"/>
        <w:jc w:val="both"/>
      </w:pPr>
      <w:r>
        <w:rPr/>
        <w:t xml:space="preserve">(iii) The driver is under age twenty-one and the driver is in violation of RCW 46.61.502 or 46.61.504; and</w:t>
      </w:r>
    </w:p>
    <w:p>
      <w:pPr>
        <w:ind w:left="0" w:right="0" w:firstLine="360"/>
        <w:jc w:val="both"/>
      </w:pPr>
      <w:r>
        <w:rPr/>
        <w:t xml:space="preserve">(d) If the driver's license, permit, or privilege to drive is suspended, revoked, or denied the driver may be eligible to immediately apply for an ignition interlock driver's license.</w:t>
      </w:r>
    </w:p>
    <w:p>
      <w:pPr>
        <w:ind w:left="0" w:right="0" w:firstLine="360"/>
        <w:jc w:val="both"/>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ind w:left="0" w:right="0" w:firstLine="360"/>
        <w:jc w:val="both"/>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ind w:left="0" w:right="0" w:firstLine="360"/>
        <w:jc w:val="both"/>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marijuana levels, or any drug, is drawn pursuant to this section when the officer has reasonable grounds to believe that the person is in physical control or driving a vehicle under the influence or in violation of RCW 46.61.503.</w:t>
      </w:r>
    </w:p>
    <w:p>
      <w:pPr>
        <w:ind w:left="0" w:right="0" w:firstLine="360"/>
        <w:jc w:val="both"/>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ind w:left="0" w:right="0" w:firstLine="360"/>
        <w:jc w:val="both"/>
      </w:pPr>
      <w:r>
        <w:rPr/>
        <w:t xml:space="preserve">(a) Serve notice in writing on the person on behalf of the department of its intention to suspend, revoke, or deny the person's license, permit, or privilege to drive as required by subsection (6) of this section;</w:t>
      </w:r>
    </w:p>
    <w:p>
      <w:pPr>
        <w:ind w:left="0" w:right="0" w:firstLine="360"/>
        <w:jc w:val="both"/>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ind w:left="0" w:right="0" w:firstLine="360"/>
        <w:jc w:val="both"/>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ind w:left="0" w:right="0" w:firstLine="360"/>
        <w:jc w:val="both"/>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ind w:left="0" w:right="0" w:firstLine="360"/>
        <w:jc w:val="both"/>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ind w:left="0" w:right="0" w:firstLine="360"/>
        <w:jc w:val="both"/>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ind w:left="0" w:right="0" w:firstLine="360"/>
        <w:jc w:val="both"/>
      </w:pPr>
      <w:r>
        <w:rPr/>
        <w:t xml:space="preserve">(iii) Any other information that the director may require by rule.</w:t>
      </w:r>
    </w:p>
    <w:p>
      <w:pPr>
        <w:ind w:left="0" w:right="0" w:firstLine="360"/>
        <w:jc w:val="both"/>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ind w:left="0" w:right="0" w:firstLine="360"/>
        <w:jc w:val="both"/>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ind w:left="0" w:right="0" w:firstLine="360"/>
        <w:jc w:val="both"/>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ind w:left="0" w:right="0" w:firstLine="360"/>
        <w:jc w:val="both"/>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ind w:left="0" w:right="0" w:firstLine="360"/>
        <w:jc w:val="both"/>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ind w:left="0" w:right="0" w:firstLine="360"/>
        <w:jc w:val="both"/>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ind w:left="0" w:right="0" w:firstLine="360"/>
        <w:jc w:val="both"/>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ind w:left="0" w:right="0" w:firstLine="360"/>
        <w:jc w:val="both"/>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ind w:left="0" w:right="0" w:firstLine="360"/>
        <w:jc w:val="center"/>
      </w:pPr>
      <w:r>
        <w:rPr>
          <w:b/>
        </w:rPr>
        <w:t xml:space="preserve">Circumventing ignition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ind w:left="0" w:right="0" w:firstLine="360"/>
        <w:jc w:val="both"/>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ind w:left="0" w:right="0" w:firstLine="360"/>
        <w:jc w:val="both"/>
      </w:pPr>
      <w:r>
        <w:rPr>
          <w:u w:val="single"/>
        </w:rPr>
        <w:t xml:space="preserve">(a) Tampers with the device by modifying, detaching, disconnecting, or otherwise disabling it to allow the restricted driver to operate the vehicle;</w:t>
      </w:r>
    </w:p>
    <w:p>
      <w:pPr>
        <w:ind w:left="0" w:right="0" w:firstLine="360"/>
        <w:jc w:val="both"/>
      </w:pPr>
      <w:r>
        <w:rPr>
          <w:u w:val="single"/>
        </w:rPr>
        <w:t xml:space="preserve">(b) Uses or requests another person to use a filter or other device to circumvent the ignition interlock or to start or operate the vehicle to allow the restricted driver to operate the vehicle;</w:t>
      </w:r>
    </w:p>
    <w:p>
      <w:pPr>
        <w:ind w:left="0" w:right="0" w:firstLine="360"/>
        <w:jc w:val="both"/>
      </w:pPr>
      <w:r>
        <w:rPr>
          <w:u w:val="single"/>
        </w:rPr>
        <w:t xml:space="preserve">(c) Has, directs, authorizes, or requests another person to tamper with the device by modifying, detaching, disconnecting, or otherwise disabling it to allow the restricted driver to operate the vehicle; or</w:t>
      </w:r>
    </w:p>
    <w:p>
      <w:pPr>
        <w:ind w:left="0" w:right="0" w:firstLine="360"/>
        <w:jc w:val="both"/>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ind w:left="0" w:right="0" w:firstLine="360"/>
        <w:jc w:val="both"/>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ind w:left="0" w:right="0" w:firstLine="360"/>
        <w:jc w:val="both"/>
      </w:pPr>
      <w:r>
        <w:rPr>
          <w:u w:val="single"/>
        </w:rPr>
        <w:t xml:space="preserve">(3) Any sentence imposed for a violation of subsection (1) of this section shall be served consecutively with any sentence imposed under RCW 46.20.740, 46.61.502, 46.61.504, 46.61.5055, 46.61.520(1)(a), or 46.61.522(1)(b).</w:t>
      </w:r>
    </w:p>
    <w:p>
      <w:pPr>
        <w:ind w:left="0" w:right="0" w:firstLine="360"/>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ind w:left="0" w:right="0" w:firstLine="360"/>
        <w:jc w:val="both"/>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ind w:left="0" w:right="0" w:firstLine="360"/>
        <w:jc w:val="both"/>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ind w:left="0" w:right="0" w:firstLine="360"/>
        <w:jc w:val="both"/>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ind w:left="0" w:right="0" w:firstLine="360"/>
        <w:jc w:val="both"/>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ind w:left="0" w:right="0" w:firstLine="360"/>
        <w:jc w:val="both"/>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ind w:left="0" w:right="0" w:firstLine="360"/>
        <w:jc w:val="both"/>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ind w:left="0" w:right="0" w:firstLine="360"/>
        <w:jc w:val="both"/>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ind w:left="0" w:right="0" w:firstLine="360"/>
        <w:jc w:val="both"/>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ind w:left="0" w:right="0" w:firstLine="360"/>
        <w:jc w:val="center"/>
      </w:pPr>
      <w:r>
        <w:rPr>
          <w:b/>
        </w:rPr>
        <w:t xml:space="preserve">Open container law for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ind w:left="0" w:right="0" w:firstLine="360"/>
        <w:jc w:val="both"/>
      </w:pPr>
      <w:r>
        <w:rPr/>
        <w:t xml:space="preserve">(1)(a) It is a traffic infraction:</w:t>
      </w:r>
    </w:p>
    <w:p>
      <w:pPr>
        <w:ind w:left="0" w:right="0" w:firstLine="360"/>
        <w:jc w:val="both"/>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ind w:left="0" w:right="0" w:firstLine="360"/>
        <w:jc w:val="both"/>
      </w:pPr>
      <w:r>
        <w:rPr/>
        <w:t xml:space="preserve">(ii) To consume marijuana in any manner including, but not limited to, smoking or ingesting in a motor vehicle when the vehicle is upon the public highway; or</w:t>
      </w:r>
    </w:p>
    <w:p>
      <w:pPr>
        <w:ind w:left="0" w:right="0" w:firstLine="360"/>
        <w:jc w:val="both"/>
      </w:pPr>
      <w:r>
        <w:rPr/>
        <w:t xml:space="preserve">(iii) To place marijuana in a container specifically labeled by the manufacturer of the container as containing a nonmarijuana substance and to then violate (a)(i) of this subsection.</w:t>
      </w:r>
    </w:p>
    <w:p>
      <w:pPr>
        <w:ind w:left="0" w:right="0" w:firstLine="360"/>
        <w:jc w:val="both"/>
      </w:pPr>
      <w:r>
        <w:rPr/>
        <w:t xml:space="preserve">(b) There is a rebuttable presumption that it is a traffic infraction if the original container of marijuana is incorrectly labeled and there is a subsequent violation of (a)(i) of this subsection.</w:t>
      </w:r>
    </w:p>
    <w:p>
      <w:pPr>
        <w:ind w:left="0" w:right="0" w:firstLine="360"/>
        <w:jc w:val="both"/>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center"/>
      </w:pPr>
      <w:r>
        <w:rPr>
          <w:b/>
        </w:rPr>
        <w:t xml:space="preserve">Alcohol and drug violators</w:t>
      </w:r>
      <w:r>
        <w:rPr>
          <w:rFonts w:ascii="Times New Roman" w:hAnsi="Times New Roman"/>
          <w:b/>
        </w:rPr>
        <w:t xml:space="preserve">—</w:t>
      </w:r>
      <w:r>
        <w:rPr>
          <w:b/>
        </w:rPr>
        <w:t xml:space="preserve">Penalty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c 265 s 33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w:t>
      </w:r>
      <w:r>
        <w:t>((</w:t>
      </w:r>
      <w:r>
        <w:rPr>
          <w:strike/>
        </w:rPr>
        <w:t xml:space="preserve">(3)</w:t>
      </w:r>
      <w:r>
        <w:t>))</w:t>
      </w:r>
      <w:r>
        <w:rPr/>
        <w:t xml:space="preserve"> </w:t>
      </w:r>
      <w:r>
        <w:rPr>
          <w:u w:val="single"/>
        </w:rPr>
        <w:t xml:space="preserve">(1)(c)</w:t>
      </w:r>
      <w:r>
        <w:rPr/>
        <w:t xml:space="preserve">.</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w:t>
      </w:r>
      <w:r>
        <w:rPr>
          <w:u w:val="single"/>
        </w:rPr>
        <w:t xml:space="preserve">(2)</w:t>
      </w:r>
      <w:r>
        <w:rPr/>
        <w:t xml:space="preserve"> or an equivalent local ordinance;</w:t>
      </w:r>
    </w:p>
    <w:p>
      <w:pPr>
        <w:ind w:left="0" w:right="0" w:firstLine="360"/>
        <w:jc w:val="both"/>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ind w:left="0" w:right="0" w:firstLine="360"/>
        <w:jc w:val="both"/>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ind w:left="0" w:right="0" w:firstLine="360"/>
        <w:jc w:val="both"/>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ind w:left="0" w:right="0" w:firstLine="360"/>
        <w:jc w:val="both"/>
      </w:pPr>
      <w:r>
        <w:rPr>
          <w:u w:val="single"/>
        </w:rPr>
        <w:t xml:space="preserve">(viii)</w:t>
      </w:r>
      <w:r>
        <w:rPr/>
        <w:t xml:space="preserve"> A conviction for a violation of RCW 46.09.470(2) or an equivalent local ordinance;</w:t>
      </w:r>
    </w:p>
    <w:p>
      <w:pPr>
        <w:ind w:left="0" w:right="0" w:firstLine="360"/>
        <w:jc w:val="both"/>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ind w:left="0" w:right="0" w:firstLine="360"/>
        <w:jc w:val="both"/>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ind w:left="0" w:right="0" w:firstLine="360"/>
        <w:jc w:val="both"/>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ind w:left="0" w:right="0" w:firstLine="360"/>
        <w:jc w:val="both"/>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t xml:space="preserve">(15) All fines imposed by this section apply to adult offenders only.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ind w:left="0" w:right="0" w:firstLine="360"/>
        <w:jc w:val="both"/>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ind w:left="0" w:right="0" w:firstLine="360"/>
        <w:jc w:val="both"/>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ind w:left="0" w:right="0" w:firstLine="360"/>
        <w:jc w:val="both"/>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ind w:left="0" w:right="0" w:firstLine="360"/>
        <w:jc w:val="both"/>
      </w:pPr>
      <w:r>
        <w:rPr/>
        <w:t xml:space="preserve">(c) For purposes of RCW 46.52.101 and 46.52.130, offenses subject to this subsection shall be considered "alcohol-related" offenses.</w:t>
      </w:r>
    </w:p>
    <w:p>
      <w:pPr>
        <w:ind w:left="0" w:right="0" w:firstLine="360"/>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ind w:left="0" w:right="0" w:firstLine="360"/>
        <w:jc w:val="both"/>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ind w:left="0" w:right="0" w:firstLine="360"/>
        <w:jc w:val="both"/>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ind w:left="0" w:right="0" w:firstLine="360"/>
        <w:jc w:val="both"/>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ind w:left="0" w:right="0" w:firstLine="360"/>
        <w:jc w:val="both"/>
      </w:pPr>
      <w:r>
        <w:rPr/>
        <w:t xml:space="preserve">(3)(a) An ignition interlock device must employ</w:t>
      </w:r>
      <w:r>
        <w:rPr>
          <w:u w:val="single"/>
        </w:rPr>
        <w:t xml:space="preserve">:</w:t>
      </w:r>
    </w:p>
    <w:p>
      <w:pPr>
        <w:ind w:left="0" w:right="0" w:firstLine="360"/>
        <w:jc w:val="both"/>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ind w:left="0" w:right="0" w:firstLine="360"/>
        <w:jc w:val="both"/>
      </w:pPr>
      <w:r>
        <w:rPr>
          <w:strike/>
        </w:rPr>
        <w:t xml:space="preserve">(b) When reasonably available in the area, as determined by the state patrol, an ignition interlock device must employ</w:t>
      </w:r>
      <w:r>
        <w:t>))</w:t>
      </w:r>
      <w:r>
        <w:rPr>
          <w:u w:val="single"/>
        </w:rPr>
        <w:t xml:space="preserve">;</w:t>
      </w:r>
    </w:p>
    <w:p>
      <w:pPr>
        <w:ind w:left="0" w:right="0" w:firstLine="360"/>
        <w:jc w:val="both"/>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ind w:left="0" w:right="0" w:firstLine="360"/>
        <w:jc w:val="both"/>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ind w:left="0" w:right="0" w:firstLine="360"/>
        <w:jc w:val="both"/>
      </w:pPr>
      <w:r>
        <w:t>((</w:t>
      </w:r>
      <w:r>
        <w:rPr>
          <w:strike/>
        </w:rPr>
        <w:t xml:space="preserve">(c)</w:t>
      </w:r>
      <w:r>
        <w:t>))</w:t>
      </w:r>
      <w:r>
        <w:rPr/>
        <w:t xml:space="preserve"> </w:t>
      </w:r>
      <w:r>
        <w:rPr>
          <w:u w:val="single"/>
        </w:rPr>
        <w:t xml:space="preserve">(b)</w:t>
      </w:r>
      <w:r>
        <w:rPr/>
        <w:t xml:space="preserve"> To be certified, an ignition interlock device must:</w:t>
      </w:r>
    </w:p>
    <w:p>
      <w:pPr>
        <w:ind w:left="0" w:right="0" w:firstLine="360"/>
        <w:jc w:val="both"/>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ind w:left="0" w:right="0" w:firstLine="360"/>
        <w:jc w:val="both"/>
      </w:pPr>
      <w:r>
        <w:rPr/>
        <w:t xml:space="preserve">(ii) Be maintained in accordance with the rules and standards adopted by the state patrol.</w:t>
      </w:r>
    </w:p>
    <w:p>
      <w:pPr>
        <w:ind w:left="0" w:right="0" w:firstLine="360"/>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2015 c 265 s 4 are each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t xml:space="preserve">(D) No employer or prospective employer, nor any agent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 of the employer or prospective employer, as may be required to ensure the application of this subsection.</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t xml:space="preserve">(6) Effective July 1, 2019, the contents of a driving abstract pursuant to this section shall not include any information related to sealed juvenile records unless that information is required by federal law or regulation.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ind w:left="0" w:right="0" w:firstLine="360"/>
        <w:jc w:val="both"/>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ind w:left="0" w:right="0" w:firstLine="360"/>
        <w:jc w:val="both"/>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ind w:left="0" w:right="0" w:firstLine="360"/>
        <w:jc w:val="both"/>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ind w:left="0" w:right="0" w:firstLine="360"/>
        <w:jc w:val="left"/>
      </w:pPr>
      <w:r>
        <w:rPr>
          <w:u w:val="single"/>
        </w:rPr>
        <w:t xml:space="preserve">(d) All sentences imposed under RCW 46.61.502(6), 46.61.504(6), or 46.61.5055(4) shall be served consecutively to any sentences imposed under RCW 46.20.740 and 46.20.750.</w:t>
      </w:r>
    </w:p>
    <w:p>
      <w:pPr>
        <w:ind w:left="0" w:right="0" w:firstLine="360"/>
        <w:jc w:val="both"/>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ind w:left="0" w:right="0" w:firstLine="360"/>
        <w:jc w:val="both"/>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ind w:left="0" w:right="0" w:firstLine="360"/>
        <w:jc w:val="both"/>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ind w:left="0" w:right="0" w:firstLine="360"/>
        <w:jc w:val="both"/>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ind w:left="0" w:right="0" w:firstLine="360"/>
        <w:jc w:val="both"/>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ind w:left="0" w:right="0" w:firstLine="360"/>
        <w:jc w:val="both"/>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ind w:left="0" w:right="0" w:firstLine="360"/>
        <w:jc w:val="both"/>
      </w:pPr>
      <w:r>
        <w:rPr/>
        <w:t xml:space="preserve">(a) Is under the age of twenty-one; and</w:t>
      </w:r>
    </w:p>
    <w:p>
      <w:pPr>
        <w:ind w:left="0" w:right="0" w:firstLine="360"/>
        <w:jc w:val="both"/>
      </w:pPr>
      <w:r>
        <w:rPr/>
        <w:t xml:space="preserve">(b) Has, within two hours after operating or being in physical control of the motor vehicle, either:</w:t>
      </w:r>
    </w:p>
    <w:p>
      <w:pPr>
        <w:ind w:left="0" w:right="0" w:firstLine="360"/>
        <w:jc w:val="both"/>
      </w:pPr>
      <w:r>
        <w:rPr/>
        <w:t xml:space="preserve">(i) An alcohol concentration of at least 0.02 but less than the concentration specified in RCW 46.61.502, as shown by analysis of the person's breath or blood made under RCW 46.61.506; or</w:t>
      </w:r>
    </w:p>
    <w:p>
      <w:pPr>
        <w:ind w:left="0" w:right="0" w:firstLine="360"/>
        <w:jc w:val="both"/>
      </w:pPr>
      <w:r>
        <w:rPr/>
        <w:t xml:space="preserve">(ii) A THC concentration above 0.00 but less than the concentration specified in RCW 46.61.502, as shown by analysis of the person's blood made under RCW 46.61.506.</w:t>
      </w:r>
    </w:p>
    <w:p>
      <w:pPr>
        <w:ind w:left="0" w:right="0" w:firstLine="360"/>
        <w:jc w:val="both"/>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ind w:left="0" w:right="0" w:firstLine="360"/>
        <w:jc w:val="both"/>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ind w:left="0" w:right="0" w:firstLine="360"/>
        <w:jc w:val="both"/>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ind w:left="0" w:right="0" w:firstLine="360"/>
        <w:jc w:val="both"/>
      </w:pPr>
      <w:r>
        <w:t>((</w:t>
      </w:r>
      <w:r>
        <w:rPr>
          <w:strike/>
        </w:rPr>
        <w:t xml:space="preserve">(4)</w:t>
      </w:r>
      <w:r>
        <w:t>))</w:t>
      </w:r>
      <w:r>
        <w:rPr/>
        <w:t xml:space="preserve"> </w:t>
      </w:r>
      <w:r>
        <w:rPr>
          <w:u w:val="single"/>
        </w:rPr>
        <w:t xml:space="preserve">(5)</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ind w:left="0" w:right="0" w:firstLine="360"/>
        <w:jc w:val="both"/>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ind w:left="0" w:right="0" w:firstLine="360"/>
        <w:jc w:val="both"/>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ind w:left="0" w:right="0" w:firstLine="360"/>
        <w:jc w:val="both"/>
      </w:pPr>
      <w:r>
        <w:rPr/>
        <w:t xml:space="preserve">The definitions in this section apply throughout RCW 36.28A.300 through 36.28A.390 unless the context clearly requires otherwise.</w:t>
      </w:r>
    </w:p>
    <w:p>
      <w:pPr>
        <w:ind w:left="0" w:right="0" w:firstLine="360"/>
        <w:jc w:val="both"/>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ind w:left="0" w:right="0" w:firstLine="360"/>
        <w:jc w:val="both"/>
      </w:pPr>
      <w:r>
        <w:rPr/>
        <w:t xml:space="preserve">(2) "Participant" means a person who has </w:t>
      </w:r>
      <w:r>
        <w:t>((</w:t>
      </w:r>
      <w:r>
        <w:rPr>
          <w:strike/>
        </w:rPr>
        <w:t xml:space="preserve">one or more prior convictions for</w:t>
      </w:r>
      <w:r>
        <w:t>))</w:t>
      </w:r>
      <w:r>
        <w:rPr/>
        <w:t xml:space="preserve"> </w:t>
      </w:r>
      <w:r>
        <w:rPr>
          <w:u w:val="single"/>
        </w:rPr>
        <w:t xml:space="preserve">been charged with or convicted of</w:t>
      </w:r>
      <w:r>
        <w:rPr/>
        <w:t xml:space="preserve"> a violation of RCW 46.61.502 </w:t>
      </w:r>
      <w:r>
        <w:t>((</w:t>
      </w:r>
      <w:r>
        <w:rPr>
          <w:strike/>
        </w:rPr>
        <w:t xml:space="preserve">or</w:t>
      </w:r>
      <w:r>
        <w:t>))</w:t>
      </w:r>
      <w:r>
        <w:rPr>
          <w:u w:val="single"/>
        </w:rPr>
        <w:t xml:space="preserve">,</w:t>
      </w:r>
      <w:r>
        <w:rPr/>
        <w:t xml:space="preserve"> 46.61.504</w:t>
      </w:r>
      <w:r>
        <w:rPr>
          <w:u w:val="single"/>
        </w:rPr>
        <w:t xml:space="preserve">, or those crimes listed in RCW 46.61.5055(14), in which the use of alcohol or drugs as defined in RCW 46.61.540 was a contributing factor in the commission of the crime</w:t>
      </w:r>
      <w:r>
        <w:rPr/>
        <w:t xml:space="preserve"> and who has been ordered by a court to participate in the 24/7 sobriety program.</w:t>
      </w:r>
    </w:p>
    <w:p>
      <w:pPr>
        <w:ind w:left="0" w:right="0" w:firstLine="360"/>
        <w:jc w:val="both"/>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ind w:left="0" w:right="0" w:firstLine="360"/>
        <w:jc w:val="both"/>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ind w:left="0" w:right="0" w:firstLine="360"/>
        <w:jc w:val="both"/>
      </w:pPr>
      <w:r>
        <w:rPr/>
        <w:t xml:space="preserve">(a) The type, frequency, and time period of testing;</w:t>
      </w:r>
    </w:p>
    <w:p>
      <w:pPr>
        <w:ind w:left="0" w:right="0" w:firstLine="360"/>
        <w:jc w:val="both"/>
      </w:pPr>
      <w:r>
        <w:rPr/>
        <w:t xml:space="preserve">(b) The location of testing;</w:t>
      </w:r>
    </w:p>
    <w:p>
      <w:pPr>
        <w:ind w:left="0" w:right="0" w:firstLine="360"/>
        <w:jc w:val="both"/>
      </w:pPr>
      <w:r>
        <w:rPr/>
        <w:t xml:space="preserve">(c) The fees and payment procedures required for testing; and</w:t>
      </w:r>
    </w:p>
    <w:p>
      <w:pPr>
        <w:ind w:left="0" w:right="0" w:firstLine="360"/>
        <w:jc w:val="both"/>
      </w:pPr>
      <w:r>
        <w:rPr/>
        <w:t xml:space="preserve">(d) The responsibilities and obligations of the participant under the 24/7 sobriety program.</w:t>
      </w:r>
    </w:p>
    <w:p>
      <w:pPr>
        <w:ind w:left="0" w:right="0" w:firstLine="360"/>
        <w:jc w:val="both"/>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ind w:left="0" w:right="0" w:firstLine="360"/>
        <w:jc w:val="both"/>
      </w:pPr>
      <w:r>
        <w:rPr/>
        <w:t xml:space="preserve">(1) </w:t>
      </w:r>
      <w:r>
        <w:t>((</w:t>
      </w:r>
      <w:r>
        <w:rPr>
          <w:strike/>
        </w:rPr>
        <w:t xml:space="preserve">Funds in the 24/7 sobriety account shall be distributed as follows:</w:t>
      </w:r>
    </w:p>
    <w:p>
      <w:pPr>
        <w:ind w:left="0" w:right="0" w:firstLine="360"/>
        <w:jc w:val="both"/>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ind w:left="0" w:right="0" w:firstLine="360"/>
        <w:jc w:val="both"/>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ind w:left="0" w:right="0" w:firstLine="360"/>
        <w:jc w:val="both"/>
      </w:pPr>
      <w:r>
        <w:rPr>
          <w:u w:val="single"/>
        </w:rPr>
        <w:t xml:space="preserve">(4) A city or county may accept donations, gifts, grants, and other assistance to defray the participating agency's costs of the 24/7 sobriety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ind w:left="0" w:right="0" w:firstLine="360"/>
        <w:jc w:val="both"/>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ind w:left="0" w:right="0" w:firstLine="360"/>
        <w:jc w:val="both"/>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ind w:left="0" w:right="0" w:firstLine="360"/>
        <w:jc w:val="both"/>
      </w:pPr>
      <w:r>
        <w:rPr/>
        <w:t xml:space="preserve">(a) Receive a written warning notice for a first violation;</w:t>
      </w:r>
    </w:p>
    <w:p>
      <w:pPr>
        <w:ind w:left="0" w:right="0" w:firstLine="360"/>
        <w:jc w:val="both"/>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ind w:left="0" w:right="0" w:firstLine="360"/>
        <w:jc w:val="both"/>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ind w:left="0" w:right="0" w:firstLine="360"/>
        <w:jc w:val="both"/>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ind w:left="0" w:right="0" w:firstLine="360"/>
        <w:jc w:val="both"/>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ind w:left="0" w:right="0" w:firstLine="360"/>
        <w:jc w:val="both"/>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ind w:left="0" w:right="0" w:firstLine="360"/>
        <w:jc w:val="both"/>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ind w:left="0" w:right="0" w:firstLine="360"/>
        <w:jc w:val="both"/>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It is not professional misconduct for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to collect a blood sample without a person's consent when the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was directed by a law enforcement officer to do so for the purpose of a blood test under the provisions of a search warrant or exigent circumstances: PROVIDED, That nothing in this section shall relieve a 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ind w:left="0" w:right="0" w:firstLine="360"/>
        <w:jc w:val="both"/>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ind w:left="0" w:right="0" w:firstLine="360"/>
        <w:jc w:val="both"/>
      </w:pPr>
      <w:r>
        <w:rPr/>
        <w:t xml:space="preserve">(2)(a) The breath analysis of the person's alcohol concentration shall be based upon grams of alcohol per two hundred ten liters of breath.</w:t>
      </w:r>
    </w:p>
    <w:p>
      <w:pPr>
        <w:ind w:left="0" w:right="0" w:firstLine="360"/>
        <w:jc w:val="both"/>
      </w:pPr>
      <w:r>
        <w:rPr/>
        <w:t xml:space="preserve">(b) The blood analysis of the person's THC concentration shall be based upon nanograms per milliliter of whole blood.</w:t>
      </w:r>
    </w:p>
    <w:p>
      <w:pPr>
        <w:ind w:left="0" w:right="0" w:firstLine="360"/>
        <w:jc w:val="both"/>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ind w:left="0" w:right="0" w:firstLine="360"/>
        <w:jc w:val="both"/>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ind w:left="0" w:right="0" w:firstLine="360"/>
        <w:jc w:val="both"/>
      </w:pPr>
      <w:r>
        <w:rPr/>
        <w:t xml:space="preserve">(4)(a) A breath test performed by any instrument approved by the state toxicologist shall be admissible at trial or in an administrative proceeding if the prosecution or department produces prima facie evidence of the following:</w:t>
      </w:r>
    </w:p>
    <w:p>
      <w:pPr>
        <w:ind w:left="0" w:right="0" w:firstLine="360"/>
        <w:jc w:val="both"/>
      </w:pPr>
      <w:r>
        <w:rPr/>
        <w:t xml:space="preserve">(i) The person who performed the test was authorized to perform such test by the state toxicologist;</w:t>
      </w:r>
    </w:p>
    <w:p>
      <w:pPr>
        <w:ind w:left="0" w:right="0" w:firstLine="360"/>
        <w:jc w:val="both"/>
      </w:pPr>
      <w:r>
        <w:rPr/>
        <w:t xml:space="preserve">(ii) The person being tested did not vomit or have anything to eat, drink, or smoke for at least fifteen minutes prior to administration of the test;</w:t>
      </w:r>
    </w:p>
    <w:p>
      <w:pPr>
        <w:ind w:left="0" w:right="0" w:firstLine="360"/>
        <w:jc w:val="both"/>
      </w:pPr>
      <w:r>
        <w:rPr/>
        <w:t xml:space="preserve">(iii) The person being tested did not have any foreign substances, not to include dental work, fixed or removable, in his or her mouth at the beginning of the fifteen-minute observation period;</w:t>
      </w:r>
    </w:p>
    <w:p>
      <w:pPr>
        <w:ind w:left="0" w:right="0" w:firstLine="360"/>
        <w:jc w:val="both"/>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ind w:left="0" w:right="0" w:firstLine="360"/>
        <w:jc w:val="both"/>
      </w:pPr>
      <w:r>
        <w:rPr/>
        <w:t xml:space="preserve">(v) The internal standard test resulted in the message "verified";</w:t>
      </w:r>
    </w:p>
    <w:p>
      <w:pPr>
        <w:ind w:left="0" w:right="0" w:firstLine="360"/>
        <w:jc w:val="both"/>
      </w:pPr>
      <w:r>
        <w:rPr/>
        <w:t xml:space="preserve">(vi) The two breath samples agree to within plus or minus ten percent of their mean to be determined by the method approved by the state toxicologist;</w:t>
      </w:r>
    </w:p>
    <w:p>
      <w:pPr>
        <w:ind w:left="0" w:right="0" w:firstLine="360"/>
        <w:jc w:val="both"/>
      </w:pPr>
      <w:r>
        <w:rPr/>
        <w:t xml:space="preserve">(vii) The result of the test of the liquid simulator solution external standard or dry gas external standard result did lie between .072 to .088 inclusive; and</w:t>
      </w:r>
    </w:p>
    <w:p>
      <w:pPr>
        <w:ind w:left="0" w:right="0" w:firstLine="360"/>
        <w:jc w:val="both"/>
      </w:pPr>
      <w:r>
        <w:rPr/>
        <w:t xml:space="preserve">(viii) All blank tests gave results of .000.</w:t>
      </w:r>
    </w:p>
    <w:p>
      <w:pPr>
        <w:ind w:left="0" w:right="0" w:firstLine="360"/>
        <w:jc w:val="both"/>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ind w:left="0" w:right="0" w:firstLine="360"/>
        <w:jc w:val="both"/>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ind w:left="0" w:right="0" w:firstLine="360"/>
        <w:jc w:val="both"/>
      </w:pPr>
      <w:r>
        <w:rPr/>
        <w:t xml:space="preserve">(5) When a blood test is administered under the provisions of RCW 46.20.308, the withdrawal of blood for the purpose of determining its alcoholic or drug content may be performed only by a physician</w:t>
      </w:r>
      <w:r>
        <w:t>((</w:t>
      </w:r>
      <w:r>
        <w:rPr>
          <w:strike/>
        </w:rPr>
        <w:t xml:space="preserve">,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w:t>
      </w:r>
      <w:r>
        <w:t>))</w:t>
      </w:r>
      <w:r>
        <w:rPr/>
        <w:t xml:space="preserve"> </w:t>
      </w:r>
      <w:r>
        <w:rPr>
          <w:u w:val="single"/>
        </w:rPr>
        <w:t xml:space="preserve">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w:t>
      </w:r>
      <w:r>
        <w:rPr/>
        <w:t xml:space="preserve">. This limitation shall not apply to the taking of breath specimens.</w:t>
      </w:r>
    </w:p>
    <w:p>
      <w:pPr>
        <w:ind w:left="0" w:right="0" w:firstLine="360"/>
        <w:jc w:val="both"/>
      </w:pPr>
      <w:r>
        <w:rPr/>
        <w:t xml:space="preserve">(6) The person tested may have a </w:t>
      </w:r>
      <w:r>
        <w:t>((</w:t>
      </w:r>
      <w:r>
        <w:rPr>
          <w:strike/>
        </w:rPr>
        <w:t xml:space="preserve">physician</w:t>
      </w:r>
      <w:r>
        <w:t>))</w:t>
      </w:r>
      <w:r>
        <w:rPr/>
        <w:t xml:space="preserve"> </w:t>
      </w:r>
      <w:r>
        <w:rPr>
          <w:u w:val="single"/>
        </w:rPr>
        <w:t xml:space="preserve">licensed or certified health care provider listed in subsection (5) of this section</w:t>
      </w:r>
      <w:r>
        <w:rPr/>
        <w:t xml:space="preserve">, or a qualified technician, chemist, </w:t>
      </w:r>
      <w:r>
        <w:t>((</w:t>
      </w:r>
      <w:r>
        <w:rPr>
          <w:strike/>
        </w:rPr>
        <w:t xml:space="preserve">registered nurse,</w:t>
      </w:r>
      <w:r>
        <w:t>))</w:t>
      </w:r>
      <w:r>
        <w:rPr/>
        <w:t xml:space="preserv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ind w:left="0" w:right="0" w:firstLine="360"/>
        <w:jc w:val="both"/>
      </w:pPr>
      <w:r>
        <w:rPr/>
        <w:t xml:space="preserve">(7) Upon the request of the person who shall submit to a test or tests at the request of a law enforcement officer, full information concerning the test or tests shall be made available to him or her or his or her attorney.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ind w:left="0" w:right="0" w:firstLine="360"/>
        <w:jc w:val="both"/>
      </w:pPr>
      <w:r>
        <w:rPr/>
        <w:t xml:space="preserve">No physician</w:t>
      </w:r>
      <w:r>
        <w:t>((</w:t>
      </w:r>
      <w:r>
        <w:rPr>
          <w:strike/>
        </w:rPr>
        <w:t xml:space="preserve">, registered nurse, qualified technician</w:t>
      </w:r>
      <w:r>
        <w:t>))</w:t>
      </w:r>
      <w:r>
        <w:rPr/>
        <w:t xml:space="preserve"> </w:t>
      </w:r>
      <w:r>
        <w:rPr>
          <w:u w:val="single"/>
        </w:rPr>
        <w:t xml:space="preserve">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rPr/>
        <w:t xml:space="preserve">, or hospital, or duly licensed clinical laboratory employing or utilizing services of such </w:t>
      </w:r>
      <w:r>
        <w:t>((</w:t>
      </w:r>
      <w:r>
        <w:rPr>
          <w:strike/>
        </w:rPr>
        <w:t xml:space="preserve">physician, registered nurse, or qualified technician</w:t>
      </w:r>
      <w:r>
        <w:t>))</w:t>
      </w:r>
      <w:r>
        <w:rPr/>
        <w:t xml:space="preserve"> </w:t>
      </w:r>
      <w:r>
        <w:rPr>
          <w:u w:val="single"/>
        </w:rPr>
        <w:t xml:space="preserve">licensed or certified health care provider</w:t>
      </w:r>
      <w:r>
        <w:rPr/>
        <w:t xml:space="preserve">,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any other authority of law, or</w:t>
      </w:r>
      <w:r>
        <w:rPr/>
        <w:t xml:space="preserve"> RCW 46.20.308, as now or hereafter amended: PROVIDED, That nothing in this section shall relieve </w:t>
      </w:r>
      <w:r>
        <w:t>((</w:t>
      </w:r>
      <w:r>
        <w:rPr>
          <w:strike/>
        </w:rPr>
        <w:t xml:space="preserve">any physician, registered nurse, qualified technician</w:t>
      </w:r>
      <w:r>
        <w:t>))</w:t>
      </w:r>
      <w:r>
        <w:rPr/>
        <w:t xml:space="preserve"> </w:t>
      </w:r>
      <w:r>
        <w:rPr>
          <w:u w:val="single"/>
        </w:rPr>
        <w:t xml:space="preserve">such licensed or certified health care provider</w:t>
      </w:r>
      <w:r>
        <w:rPr/>
        <w:t xml:space="preserve">, or hospital or duly licensed clinical laboratory from civil liability arising from the use of improper procedures or failing to exercise the required standard of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ind w:left="0" w:right="0" w:firstLine="360"/>
        <w:jc w:val="both"/>
      </w:pPr>
      <w:r>
        <w:rPr/>
        <w:t xml:space="preserve">(1) A person is guilty of being in actual physical control of a motor vehicle while under the influence of intoxicating liquor or any drug if the person has actual physical control of a vehicle within this state:</w:t>
      </w:r>
    </w:p>
    <w:p>
      <w:pPr>
        <w:ind w:left="0" w:right="0" w:firstLine="360"/>
        <w:jc w:val="both"/>
      </w:pPr>
      <w:r>
        <w:rPr/>
        <w:t xml:space="preserve">(a) And the person has, within two hours after being in actual physical control of the vehicle, an alcohol concentration of 0.08 or higher as shown by analysis of the person's breath or blood made under RCW 46.61.506; or</w:t>
      </w:r>
    </w:p>
    <w:p>
      <w:pPr>
        <w:ind w:left="0" w:right="0" w:firstLine="360"/>
        <w:jc w:val="both"/>
      </w:pPr>
      <w:r>
        <w:rPr/>
        <w:t xml:space="preserve">(b) The person has, within two hours after being in actual physical control of a vehicle,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or any drug; or</w:t>
      </w:r>
    </w:p>
    <w:p>
      <w:pPr>
        <w:ind w:left="0" w:right="0" w:firstLine="360"/>
        <w:jc w:val="both"/>
      </w:pPr>
      <w:r>
        <w:rPr/>
        <w:t xml:space="preserve">(d) While the person is under the combined influence of or affected by intoxicating liquor and any drug.</w:t>
      </w:r>
    </w:p>
    <w:p>
      <w:pPr>
        <w:ind w:left="0" w:right="0" w:firstLine="360"/>
        <w:jc w:val="both"/>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C felony punishable under chapter 9.94A RCW, or chapter 13.40 RCW if the person is a juvenile, if:</w:t>
      </w:r>
    </w:p>
    <w:p>
      <w:pPr>
        <w:ind w:left="0" w:right="0" w:firstLine="360"/>
        <w:jc w:val="both"/>
      </w:pPr>
      <w:r>
        <w:rPr/>
        <w:t xml:space="preserve">(a) The person has four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46.61.502(6).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ind w:left="0" w:right="0" w:firstLine="360"/>
        <w:jc w:val="both"/>
      </w:pPr>
      <w:r>
        <w:rPr/>
        <w:t xml:space="preserve">(1) The secretary shall adopt rules specifying the minimum qualifications for a medical assistant-certified, medical assistant-hemodialysis technician, and medical assistant-phlebotomist. The qualifications for a medical assistant-hemodialysis technician must be equivalent to the qualifications for hemodialysis technicians regulated pursuant to chapter 18.135 RCW as of January 1, 2012.</w:t>
      </w:r>
    </w:p>
    <w:p>
      <w:pPr>
        <w:ind w:left="0" w:right="0" w:firstLine="360"/>
        <w:jc w:val="both"/>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ind w:left="0" w:right="0" w:firstLine="360"/>
        <w:jc w:val="both"/>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ind w:left="0" w:right="0" w:firstLine="360"/>
        <w:jc w:val="both"/>
      </w:pPr>
      <w:r>
        <w:rPr>
          <w:u w:val="single"/>
        </w:rPr>
        <w:t xml:space="preserve">(4)(a) The secretary shall adopt rules specifying requirements for delegation, training, and supervision for a medical assistant-phlebotomist who is also a local, state, federal, or tribal law enforcement employee or correctional employee, and whose practice is limited to collecting venipuncture blood samples for forensic testing under the provisions of RCW 46.20.308 or pursuant to a search warrant, a valid waiver of the warrant requirement, when exigent circumstances exist, or under any other authority of law. The rules shall provide standards for the minimum number of venipuncture collections necessary to maintain endorsement for collecting blood samples for forensic testing. The rules shall provide standards for location, conditions, and supervision of venipuncture collections.</w:t>
      </w:r>
    </w:p>
    <w:p>
      <w:pPr>
        <w:ind w:left="0" w:right="0" w:firstLine="360"/>
        <w:jc w:val="both"/>
      </w:pPr>
      <w:r>
        <w:rPr>
          <w:u w:val="single"/>
        </w:rPr>
        <w:t xml:space="preserve">(b) Until July 1, 2020, pursuant to (a) of this subsection, the rules shall include, but are not limited to:</w:t>
      </w:r>
    </w:p>
    <w:p>
      <w:pPr>
        <w:ind w:left="0" w:right="0" w:firstLine="360"/>
        <w:jc w:val="both"/>
      </w:pPr>
      <w:r>
        <w:rPr>
          <w:u w:val="single"/>
        </w:rPr>
        <w:t xml:space="preserve">(i) Requiring each medical assistant-phlebotomist to perform fifty venipuncture collections during the first year of certification;</w:t>
      </w:r>
    </w:p>
    <w:p>
      <w:pPr>
        <w:ind w:left="0" w:right="0" w:firstLine="360"/>
        <w:jc w:val="both"/>
      </w:pPr>
      <w:r>
        <w:rPr>
          <w:u w:val="single"/>
        </w:rPr>
        <w:t xml:space="preserve">(ii) Requiring mandatory annual ongoing training in order for such person to maintain certification as a medical assistant-phlebotomist; and</w:t>
      </w:r>
    </w:p>
    <w:p>
      <w:pPr>
        <w:ind w:left="0" w:right="0" w:firstLine="360"/>
        <w:jc w:val="both"/>
      </w:pPr>
      <w:r>
        <w:rPr>
          <w:u w:val="single"/>
        </w:rPr>
        <w:t xml:space="preserve">(iii) Requiring that any venipuncture blood samples collected for forensic testing take place at a site that provides for antiseptic techniques and that all such sites are inspected annually by the department.</w:t>
      </w:r>
    </w:p>
    <w:p/>
    <w:p>
      <w:pPr>
        <w:jc w:val="center"/>
      </w:pPr>
      <w:r>
        <w:rPr>
          <w:b/>
        </w:rPr>
        <w:t>--- END ---</w:t>
      </w:r>
    </w:p>
    <w:sectPr>
      <w:pgNumType w:start="1"/>
      <w:footerReference xmlns:r="http://schemas.openxmlformats.org/officeDocument/2006/relationships" r:id="R25ec2233e1bc4d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2E2SHB 1276.PL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93f5b98235462c" /><Relationship Type="http://schemas.openxmlformats.org/officeDocument/2006/relationships/footer" Target="/word/footer.xml" Id="R25ec2233e1bc4d29" /></Relationships>
</file>