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c90fa8df048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71</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Education (originally sponsored by Representatives Pollet, Santos, S. Hunt, Orwall, Senn, Lytton, Robinson, Walsh, Griffey, Goodman, Buys,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when not necessary for immediate safety.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t xml:space="preserve"> </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"Restraint" means physical intervention or force used to control a student, including the use of a restraint device </w:t>
      </w:r>
      <w:r>
        <w:rPr>
          <w:u w:val="single"/>
        </w:rPr>
        <w:t xml:space="preserve">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r>
        <w:rPr/>
        <w:t xml:space="preserv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t xml:space="preserve"> </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u w:val="singl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school employee, resource officer, or school security officer who uses </w:t>
      </w:r>
      <w:r>
        <w:t>((</w:t>
      </w:r>
      <w:r>
        <w:rPr>
          <w:strike/>
        </w:rPr>
        <w:t xml:space="preserve">any chemical spray, mechanical</w:t>
      </w:r>
      <w:r>
        <w:t>))</w:t>
      </w:r>
      <w:r>
        <w:rPr/>
        <w:t xml:space="preserve"> </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w:t>
      </w:r>
      <w:r>
        <w:t>((</w:t>
      </w:r>
      <w:r>
        <w:rPr>
          <w:strike/>
        </w:rPr>
        <w:t xml:space="preserve">should</w:t>
      </w:r>
      <w:r>
        <w:t>))</w:t>
      </w:r>
      <w:r>
        <w:rPr/>
        <w:t xml:space="preserve"> </w:t>
      </w:r>
      <w:r>
        <w:rPr>
          <w:u w:val="single"/>
        </w:rPr>
        <w:t xml:space="preserve">must</w:t>
      </w:r>
      <w:r>
        <w:rPr/>
        <w:t xml:space="preserve">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u w:val="singl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u w:val="single"/>
        </w:rPr>
        <w:t xml:space="preserve">(b) No later than ninety days after receipt, the office of the superintendent of public instruction shall publish to its web site the data received by the districts. The office of the superintendent of public instruction may use this data to investigate the training, practices, and other efforts used by schools and districts to reduce the use of restraint and isolation.</w:t>
      </w:r>
    </w:p>
    <w:p/>
    <w:p>
      <w:pPr>
        <w:jc w:val="center"/>
      </w:pPr>
      <w:r>
        <w:rPr>
          <w:b/>
        </w:rPr>
        <w:t>--- END ---</w:t>
      </w:r>
    </w:p>
    <w:sectPr>
      <w:pgNumType w:start="1"/>
      <w:footerReference xmlns:r="http://schemas.openxmlformats.org/officeDocument/2006/relationships" r:id="R4b9f0193c5ea48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ff53ff928f4917" /><Relationship Type="http://schemas.openxmlformats.org/officeDocument/2006/relationships/footer" Target="/word/footer.xml" Id="R4b9f0193c5ea48af" /></Relationships>
</file>