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1fb774164844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1126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90</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1126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Kagi, MacEwen, Tarleton, Walsh, Goodman, Senn, Gregerson, and Ryu)</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early learning fatality reviews; amending RCW 43.06A.100;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(2)(a) The department shall conduct a child fatality review if a child fatality occurs in an early learning program described in RCW 43.215.400 through 43.215.450 or a licensed child care center or a licensed child care home.</w:t>
      </w:r>
    </w:p>
    <w:p>
      <w:pPr>
        <w:spacing w:before="0" w:after="0" w:line="408" w:lineRule="exact"/>
        <w:ind w:left="0" w:right="0" w:firstLine="576"/>
        <w:jc w:val="left"/>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a law enforcement officer with investigative experience, a representative from a county or state health department, and a child advocate with expertise in child fatalities. The department shall invite one parent or guardian for membership on the child fatality review committee who has had a child die in a child care setting. The department shall ensure that the fatality review team is made up of individuals who had no previous involvement in the case.</w:t>
      </w:r>
    </w:p>
    <w:p>
      <w:pPr>
        <w:spacing w:before="0" w:after="0" w:line="408" w:lineRule="exact"/>
        <w:ind w:left="0" w:right="0" w:firstLine="576"/>
        <w:jc w:val="left"/>
      </w:pPr>
      <w:r>
        <w:rPr/>
        <w:t xml:space="preserve">(c) The department shall allow the parents or guardians whose child's death is being reviewed to testify before the child fatality review committee.</w:t>
      </w:r>
    </w:p>
    <w:p>
      <w:pPr>
        <w:spacing w:before="0" w:after="0" w:line="408" w:lineRule="exact"/>
        <w:ind w:left="0" w:right="0" w:firstLine="576"/>
        <w:jc w:val="left"/>
      </w:pPr>
      <w:r>
        <w:rPr/>
        <w:t xml:space="preserve">(d)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spacing w:before="0" w:after="0" w:line="408" w:lineRule="exact"/>
        <w:ind w:left="0" w:right="0" w:firstLine="576"/>
        <w:jc w:val="left"/>
      </w:pPr>
      <w:r>
        <w:rPr/>
        <w:t xml:space="preserve">(e)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spacing w:before="0" w:after="0" w:line="408" w:lineRule="exact"/>
        <w:ind w:left="0" w:right="0" w:firstLine="576"/>
        <w:jc w:val="left"/>
      </w:pPr>
      <w:r>
        <w:rPr/>
        <w:t xml:space="preserve">(3) The department shall consult with the office of the family and children's ombuds to determine if a review should be conducted in the case of a near child fatality that occurs in an early learning program described in RCW 43.215.400 through 43.215.450 or licensed child care center or licensed child care home.</w:t>
      </w:r>
    </w:p>
    <w:p>
      <w:pPr>
        <w:spacing w:before="0" w:after="0" w:line="408" w:lineRule="exact"/>
        <w:ind w:left="0" w:right="0" w:firstLine="576"/>
        <w:jc w:val="left"/>
      </w:pPr>
      <w:r>
        <w:rPr/>
        <w:t xml:space="preserve">(4)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 or licensed family home provider.</w:t>
      </w:r>
    </w:p>
    <w:p>
      <w:pPr>
        <w:spacing w:before="0" w:after="0" w:line="408" w:lineRule="exact"/>
        <w:ind w:left="0" w:right="0" w:firstLine="576"/>
        <w:jc w:val="left"/>
      </w:pPr>
      <w:r>
        <w:rPr/>
        <w:t xml:space="preserve">(5) The child fatality review committee shall coordinate with local law enforcement to ensure that the fatality or near fatality review does not interfere with any ongoing or potential criminal investigation.</w:t>
      </w:r>
    </w:p>
    <w:p>
      <w:pPr>
        <w:spacing w:before="0" w:after="0" w:line="408" w:lineRule="exact"/>
        <w:ind w:left="0" w:right="0" w:firstLine="576"/>
        <w:jc w:val="left"/>
      </w:pPr>
      <w:r>
        <w:rPr/>
        <w:t xml:space="preserve">(6)(a)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spacing w:before="0" w:after="0" w:line="408" w:lineRule="exact"/>
        <w:ind w:left="0" w:right="0" w:firstLine="576"/>
        <w:jc w:val="left"/>
      </w:pPr>
      <w:r>
        <w:rPr/>
        <w:t xml:space="preserve">(i) The work of the child fatality or near fatality review team;</w:t>
      </w:r>
    </w:p>
    <w:p>
      <w:pPr>
        <w:spacing w:before="0" w:after="0" w:line="408" w:lineRule="exact"/>
        <w:ind w:left="0" w:right="0" w:firstLine="576"/>
        <w:jc w:val="left"/>
      </w:pPr>
      <w:r>
        <w:rPr/>
        <w:t xml:space="preserve">(ii) The incident under review;</w:t>
      </w:r>
    </w:p>
    <w:p>
      <w:pPr>
        <w:spacing w:before="0" w:after="0" w:line="408" w:lineRule="exact"/>
        <w:ind w:left="0" w:right="0" w:firstLine="576"/>
        <w:jc w:val="left"/>
      </w:pPr>
      <w:r>
        <w:rPr/>
        <w:t xml:space="preserve">(iii) The employee's or member's statements, deliberations, thoughts, analyses, or impressions relating to the work of the child fatality or near fatality review team or the incident under review; or</w:t>
      </w:r>
    </w:p>
    <w:p>
      <w:pPr>
        <w:spacing w:before="0" w:after="0" w:line="408" w:lineRule="exact"/>
        <w:ind w:left="0" w:right="0" w:firstLine="576"/>
        <w:jc w:val="left"/>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spacing w:before="0" w:after="0" w:line="408" w:lineRule="exact"/>
        <w:ind w:left="0" w:right="0" w:firstLine="576"/>
        <w:jc w:val="left"/>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0" w:after="0" w:line="408" w:lineRule="exact"/>
        <w:ind w:left="0" w:right="0" w:firstLine="576"/>
        <w:jc w:val="left"/>
      </w:pPr>
      <w:r>
        <w:rPr/>
        <w:t xml:space="preserve">(7) The department shall develop and implement procedures to carry out the requirements of this section.</w:t>
      </w:r>
    </w:p>
    <w:p>
      <w:pPr>
        <w:spacing w:before="0" w:after="0" w:line="408" w:lineRule="exact"/>
        <w:ind w:left="0" w:right="0" w:firstLine="576"/>
        <w:jc w:val="left"/>
      </w:pPr>
      <w:r>
        <w:rPr/>
        <w:t xml:space="preserve">(8) Nothing in this section creates a duty for the office of the family and children's ombuds under RCW 43.06A.030 as related to children in the care of an early learning program described in RCW 43.215.400 through 43.215.450,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2013 c 23 s 80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w:t>
      </w:r>
      <w:r>
        <w:rPr>
          <w:u w:val="single"/>
        </w:rPr>
        <w:t xml:space="preserve">and the department of early learning</w:t>
      </w:r>
      <w:r>
        <w:rPr/>
        <w:t xml:space="preserve">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Allow the ombuds or the ombuds's designee to communicate privately with any child in the custody of the department </w:t>
      </w:r>
      <w:r>
        <w:rPr>
          <w:u w:val="single"/>
        </w:rPr>
        <w:t xml:space="preserve">of social and health services, or any child who is part of a near fatality investigation by the department of early learning,</w:t>
      </w:r>
      <w:r>
        <w:rPr/>
        <w:t xml:space="preserve"> for the purposes of carrying out its duties under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Upon the ombuds's request, grant the ombuds or the ombuds's designee the right to access, inspect, and copy all relevant information, records, or documents in the possession or control of the department </w:t>
      </w:r>
      <w:r>
        <w:rPr>
          <w:u w:val="single"/>
        </w:rPr>
        <w:t xml:space="preserve">of social and health services or the department of early learning</w:t>
      </w:r>
      <w:r>
        <w:rPr/>
        <w:t xml:space="preserve"> that the ombuds considers necessary in an investigation;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Grant the office of the family and children's ombuds unrestricted online access to the </w:t>
      </w:r>
      <w:r>
        <w:rPr>
          <w:u w:val="single"/>
        </w:rPr>
        <w:t xml:space="preserve">child welfare</w:t>
      </w:r>
      <w:r>
        <w:rPr/>
        <w:t xml:space="preserve"> case </w:t>
      </w:r>
      <w:r>
        <w:t>((</w:t>
      </w:r>
      <w:r>
        <w:rPr>
          <w:strike/>
        </w:rPr>
        <w:t xml:space="preserve">and</w:t>
      </w:r>
      <w:r>
        <w:t>))</w:t>
      </w:r>
      <w:r>
        <w:rPr/>
        <w:t xml:space="preserve"> management information system </w:t>
      </w:r>
      <w:r>
        <w:t>((</w:t>
      </w:r>
      <w:r>
        <w:rPr>
          <w:strike/>
        </w:rPr>
        <w:t xml:space="preserve">(CAMIS) or any successor</w:t>
      </w:r>
      <w:r>
        <w:t>))</w:t>
      </w:r>
      <w:r>
        <w:rPr>
          <w:u w:val="single"/>
        </w:rPr>
        <w:t xml:space="preserve">and the department of early learning data</w:t>
      </w:r>
      <w:r>
        <w:rPr/>
        <w:t xml:space="preserve"> information system for the purpose of carrying out its duties under this chapter.</w:t>
      </w:r>
    </w:p>
    <w:p>
      <w:pPr>
        <w:spacing w:before="0" w:after="0" w:line="408" w:lineRule="exact"/>
        <w:ind w:left="0" w:right="0" w:firstLine="576"/>
        <w:jc w:val="left"/>
      </w:pPr>
      <w:r>
        <w:rPr>
          <w:u w:val="single"/>
        </w:rPr>
        <w:t xml:space="preserve">(2) For the purposes of this section, "near fatality" means an act that, as certified by a physician, places the child in serious or critical condition.</w:t>
      </w:r>
    </w:p>
    <w:p>
      <w:pPr>
        <w:spacing w:before="0" w:after="0" w:line="408" w:lineRule="exact"/>
        <w:ind w:left="0" w:right="0" w:firstLine="576"/>
        <w:jc w:val="left"/>
      </w:pPr>
      <w:r>
        <w:rPr>
          <w:u w:val="single"/>
        </w:rPr>
        <w:t xml:space="preserve">(3) Nothing in this section creates a duty for the office of the family and children's ombuds under RCW 43.06A.030 as related to children in the care of an early learning program described in RCW 43.215.400 through 43.215.450, a licensed child care center, or a licensed child care home.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Eve Uphold act.</w:t>
      </w:r>
    </w:p>
    <w:p/>
    <w:p>
      <w:pPr>
        <w:jc w:val="center"/>
      </w:pPr>
      <w:r>
        <w:rPr>
          <w:b/>
        </w:rPr>
        <w:t>--- END ---</w:t>
      </w:r>
    </w:p>
    <w:sectPr>
      <w:pgNumType w:start="1"/>
      <w:footerReference xmlns:r="http://schemas.openxmlformats.org/officeDocument/2006/relationships" r:id="Rd353d74ac7634a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ec770ed85942cf" /><Relationship Type="http://schemas.openxmlformats.org/officeDocument/2006/relationships/footer" Target="/word/footer.xml" Id="Rd353d74ac7634af7" /></Relationships>
</file>