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ee04734e2a48a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1105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2015</w:t>
            </w:r>
          </w:p>
          <w:p>
            <w:pPr>
              <w:ind w:left="0" w:right="0" w:firstLine="360"/>
            </w:pPr>
            <w:r>
              <w:t xml:space="preserve">Yeas </w:t>
              <w:t xml:space="preserve">89</w:t>
            </w:r>
            <w:r>
              <w:t xml:space="preserve">  Nays </w:t>
              <w:t xml:space="preserve">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11, 2015</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1105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r>
        <w:t>H-1167.6</w:t>
      </w:r>
    </w:p>
    <w:p>
      <w:pPr>
        <w:jc w:val="center"/>
      </w:pPr>
      <w:r>
        <w:t>_______________________________________________</w:t>
      </w:r>
    </w:p>
    <w:p/>
    <w:p>
      <w:pPr>
        <w:jc w:val="center"/>
      </w:pPr>
      <w:r>
        <w:rPr>
          <w:b/>
        </w:rPr>
        <w:t>SUBSTITUTE HOUSE BILL 1105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Hunter, Ormsby, Sullivan, and Gregerson; by request of Governor Inslee)</w:t>
      </w:r>
    </w:p>
    <w:p/>
    <w:p>
      <w:r>
        <w:rPr>
          <w:t xml:space="preserve">READ FIRST TIME 01/29/15.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82.33.020; adding new sections to 2013 2nd sp.s. c 4 (uncodified);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$276,000</w:t>
      </w:r>
    </w:p>
    <w:p>
      <w:pPr>
        <w:spacing w:before="120" w:after="0" w:line="408" w:lineRule="exact"/>
        <w:ind w:left="0" w:right="0" w:firstLine="576"/>
        <w:jc w:val="left"/>
      </w:pPr>
      <w:r>
        <w:rPr/>
        <w:t xml:space="preserve">The appropriation in this section is subject to the following conditions and limitations: $276,000 of the general fund</w:t>
      </w:r>
      <w:r>
        <w:rPr>
          <w:rFonts w:ascii="Times New Roman" w:hAnsi="Times New Roman"/>
        </w:rPr>
        <w:t xml:space="preserve">—</w:t>
      </w:r>
      <w:r>
        <w:rPr/>
        <w:t xml:space="preserve">state appropriation for fiscal year 2015 is provided to improve the legislature's access to independent and objective health care actuarial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$11,460,000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$6,141,000</w:t>
      </w:r>
    </w:p>
    <w:p>
      <w:pPr>
        <w:tabs>
          <w:tab w:val="right" w:leader="dot" w:pos="9936"/>
        </w:tabs>
        <w:ind w:left="0" w:right="0" w:firstLine="1440"/>
      </w:pPr>
      <w:r>
        <w:rPr/>
        <w:t xml:space="preserve">TOTAL APPROPRIATION</w:t>
      </w:r>
      <w:r>
        <w:tab/>
      </w:r>
      <w:r>
        <w:rPr/>
        <w:t xml:space="preserve">$17,601,000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disasters declared by the governor and may be spent only with the approval of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$9,424,000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($2,459,000)</w:t>
      </w:r>
    </w:p>
    <w:p>
      <w:pPr>
        <w:tabs>
          <w:tab w:val="right" w:leader="dot" w:pos="9936"/>
        </w:tabs>
        <w:ind w:left="0" w:right="0" w:firstLine="1440"/>
      </w:pPr>
      <w:r>
        <w:rPr/>
        <w:t xml:space="preserve">TOTAL APPROPRIATION</w:t>
      </w:r>
      <w:r>
        <w:tab/>
      </w:r>
      <w:r>
        <w:rPr/>
        <w:t xml:space="preserve">$6,965,000</w:t>
      </w:r>
    </w:p>
    <w:p>
      <w:pPr>
        <w:spacing w:before="120" w:after="0" w:line="408" w:lineRule="exact"/>
        <w:ind w:left="0" w:right="0" w:firstLine="576"/>
        <w:jc w:val="left"/>
      </w:pPr>
      <w:r>
        <w:rPr/>
        <w:t xml:space="preserve">The appropriations in this section are subject to the following conditions and limitations: The amount provided in this section is for increased costs of services for children and families, including supervised visitation and extended foster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DIVISION</w:t>
      </w:r>
      <w:r>
        <w:rPr>
          <w:rFonts w:ascii="Times New Roman" w:hAnsi="Times New Roman"/>
          <w:b/>
        </w:rPr>
        <w:t xml:space="preserve">—</w:t>
      </w:r>
      <w:r>
        <w:rPr>
          <w:b/>
        </w:rPr>
        <w:t xml:space="preserve">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$11,999,000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entire appropriation is provided solely to reimburse regional support networks for increased costs that are not covered under the Medicaid program and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w:t>
      </w:r>
    </w:p>
    <w:p>
      <w:pPr>
        <w:spacing w:before="0" w:after="0" w:line="408" w:lineRule="exact"/>
        <w:ind w:left="0" w:right="0" w:firstLine="576"/>
        <w:jc w:val="left"/>
      </w:pPr>
      <w:r>
        <w:rPr/>
        <w:t xml:space="preserve">(2) In addition to those authorized in section 204(1)(d), chapter 221, Laws of 2014, an additional 30 nonforensic beds per day are allocated for use by regional support networks at western state hospital.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DIVISION</w:t>
      </w:r>
      <w:r>
        <w:rPr>
          <w:rFonts w:ascii="Times New Roman" w:hAnsi="Times New Roman"/>
          <w:b/>
        </w:rPr>
        <w:t xml:space="preserve">—</w:t>
      </w:r>
      <w:r>
        <w:rPr>
          <w:b/>
        </w:rPr>
        <w:t xml:space="preserve">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$8,621,000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$1,425,000 of the appropriation is provided solely for the startup and operation of a 30 bed civil ward at western state hospital.</w:t>
      </w:r>
    </w:p>
    <w:p>
      <w:pPr>
        <w:spacing w:before="0" w:after="0" w:line="408" w:lineRule="exact"/>
        <w:ind w:left="0" w:right="0" w:firstLine="576"/>
        <w:jc w:val="left"/>
      </w:pPr>
      <w:r>
        <w:rPr/>
        <w:t xml:space="preserve">(2) $450,000 of the appropriation is provided solely for the startup and operation of a 15 bed forensic ward at western state hospital.</w:t>
      </w:r>
    </w:p>
    <w:p>
      <w:pPr>
        <w:spacing w:before="0" w:after="0" w:line="408" w:lineRule="exact"/>
        <w:ind w:left="0" w:right="0" w:firstLine="576"/>
        <w:jc w:val="left"/>
      </w:pPr>
      <w:r>
        <w:rPr/>
        <w:t xml:space="preserve">(3) $106,000 of the appropriation is provided solely to increase the number of staff providing competency evaluation services.</w:t>
      </w:r>
    </w:p>
    <w:p>
      <w:pPr>
        <w:spacing w:before="0" w:after="0" w:line="408" w:lineRule="exact"/>
        <w:ind w:left="0" w:right="0" w:firstLine="576"/>
        <w:jc w:val="left"/>
      </w:pPr>
      <w:r>
        <w:rPr/>
        <w:t xml:space="preserve">(4) $339,000 of the appropriation is provided solely for the startup and operation of a psychiatric intensive care unit to provide specialized intensive care to assaultive patients from western and eastern state hospitals.</w:t>
      </w:r>
    </w:p>
    <w:p>
      <w:pPr>
        <w:spacing w:before="0" w:after="0" w:line="408" w:lineRule="exact"/>
        <w:ind w:left="0" w:right="0" w:firstLine="576"/>
        <w:jc w:val="left"/>
      </w:pPr>
      <w:r>
        <w:rPr/>
        <w:t xml:space="preserve">(5) $318,000 of the appropriation is provided solely to expand the use of psychiatric emergency response teams at western and eastern state hospitals.</w:t>
      </w:r>
    </w:p>
    <w:p>
      <w:pPr>
        <w:spacing w:before="0" w:after="0" w:line="408" w:lineRule="exact"/>
        <w:ind w:left="0" w:right="0" w:firstLine="576"/>
        <w:jc w:val="left"/>
      </w:pPr>
      <w:r>
        <w:rPr/>
        <w:t xml:space="preserve">(6) $459,000 of the appropriation is provided solely for assignment pay to improve recruitment and retention of psychiatrists at eastern and western state hospitals.</w:t>
      </w:r>
    </w:p>
    <w:p>
      <w:pPr>
        <w:spacing w:before="0" w:after="0" w:line="408" w:lineRule="exact"/>
        <w:ind w:left="0" w:right="0" w:firstLine="576"/>
        <w:jc w:val="left"/>
      </w:pPr>
      <w:r>
        <w:rPr/>
        <w:t xml:space="preserve">(7) $5,524,000 of the appropriation is provided for covering increased costs of operations at the state hospitals. By April 1, 2015, the department shall prepare and submit to the office of financial management and the fiscal committees of the legislature a staffing plan for the state institutions of the mental health division that will maintain expenditures within appropriated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DIVISION</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$535,000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$115,000</w:t>
      </w:r>
    </w:p>
    <w:p>
      <w:pPr>
        <w:tabs>
          <w:tab w:val="right" w:leader="dot" w:pos="9936"/>
        </w:tabs>
        <w:ind w:left="0" w:right="0" w:firstLine="1440"/>
      </w:pPr>
      <w:r>
        <w:rPr/>
        <w:t xml:space="preserve">TOTAL APPROPRIATION</w:t>
      </w:r>
      <w:r>
        <w:tab/>
      </w:r>
      <w:r>
        <w:rPr/>
        <w:t xml:space="preserve">$650,000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$335,000 of the general fund</w:t>
      </w:r>
      <w:r>
        <w:rPr>
          <w:rFonts w:ascii="Times New Roman" w:hAnsi="Times New Roman"/>
        </w:rPr>
        <w:t xml:space="preserve">—</w:t>
      </w:r>
      <w:r>
        <w:rPr/>
        <w:t xml:space="preserve">state appropriation and the entire general fund</w:t>
      </w:r>
      <w:r>
        <w:rPr>
          <w:rFonts w:ascii="Times New Roman" w:hAnsi="Times New Roman"/>
        </w:rPr>
        <w:t xml:space="preserve">—</w:t>
      </w:r>
      <w:r>
        <w:rPr/>
        <w:t xml:space="preserve">federal appropriation are provided solely for coordination of efforts to meet statutory obligations to provide individualized mental health treatment in appropriate settings to individuals who are detained or committed under the involuntary treatment act.</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is provided solely for increasing the number of community competency evaluations that can be done under chapter 284, Laws of 2013 (ESSB 5551).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Budget Stabilization Account Appropriation (FY 2015) </w:t>
      </w:r>
      <w:r>
        <w:tab/>
      </w:r>
      <w:r>
        <w:rPr/>
        <w:t xml:space="preserve">$1,165,000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$1,538,000</w:t>
      </w:r>
    </w:p>
    <w:p>
      <w:pPr>
        <w:tabs>
          <w:tab w:val="right" w:leader="dot" w:pos="9936"/>
        </w:tabs>
        <w:ind w:left="0" w:right="0" w:firstLine="1440"/>
      </w:pPr>
      <w:r>
        <w:rPr/>
        <w:t xml:space="preserve">TOTAL APPROPRIATION</w:t>
      </w:r>
      <w:r>
        <w:tab/>
      </w:r>
      <w:r>
        <w:rPr/>
        <w:t xml:space="preserve">$2,703,000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to protect water quality, prevent crop damage, and help landowners recover from losses sustained during the Carlton Complex fire.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Budget Stabilization Account Appropriation (FY 2015) </w:t>
      </w:r>
      <w:r>
        <w:tab/>
      </w:r>
      <w:r>
        <w:rPr/>
        <w:t xml:space="preserve">$62,704,000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$9,661,000</w:t>
      </w:r>
    </w:p>
    <w:p>
      <w:pPr>
        <w:tabs>
          <w:tab w:val="right" w:leader="dot" w:pos="9936"/>
        </w:tabs>
        <w:ind w:left="0" w:right="0" w:firstLine="1440"/>
      </w:pPr>
      <w:r>
        <w:rPr/>
        <w:t xml:space="preserve">TOTAL APPROPRIATION</w:t>
      </w:r>
      <w:r>
        <w:tab/>
      </w:r>
      <w:r>
        <w:rPr/>
        <w:t xml:space="preserve">$72,365,000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costs of emergency fire suppression. These amounts may not be used to fund agency indirect and administrative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Budget Stabilization Account Appropriation (FY 2015)</w:t>
      </w:r>
      <w:r>
        <w:tab/>
      </w:r>
      <w:r>
        <w:rPr/>
        <w:t xml:space="preserve">$771,000</w:t>
      </w:r>
    </w:p>
    <w:p>
      <w:pPr>
        <w:spacing w:before="120" w:after="0" w:line="408" w:lineRule="exact"/>
        <w:ind w:left="0" w:right="0" w:firstLine="576"/>
        <w:jc w:val="left"/>
      </w:pPr>
      <w:r>
        <w:rPr/>
        <w:t xml:space="preserve">The appropriation in this section is subject to the following conditions and limitations: The appropriations are provided solely to pay for emergency fire suppression costs, emergency seeding, winter feeding of deer, and emergency fence repair costs. These amounts may not be used to fund agency indirect and administrative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$12,547,000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Washington state fire service resource mobilization costs incurred in response to an emergency or disaster authorized under RCW 43.43.960 through 43.43.964.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FIRE CONTINGENCY</w:t>
      </w:r>
    </w:p>
    <w:p>
      <w:pPr>
        <w:spacing w:before="0" w:after="0" w:line="408" w:lineRule="exact"/>
        <w:ind w:left="0" w:right="0" w:firstLine="0"/>
        <w:jc w:val="left"/>
        <w:tabs>
          <w:tab w:val="right" w:leader="dot" w:pos="9936"/>
        </w:tabs>
      </w:pPr>
      <w:r>
        <w:rPr/>
        <w:t xml:space="preserve">Budget Stabilization Account Appropriation (FY 2015) </w:t>
      </w:r>
      <w:r>
        <w:tab/>
      </w:r>
      <w:r>
        <w:rPr/>
        <w:t xml:space="preserve">$12,547,000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disaster response account to be used for any Washington state fire service resource mobilization costs incurred in response to an emergency or disaster authorized under RCW 43.43.960 through 43.43.964.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SERVICES—DEVELOPMENTAL DISABILITIES DIVISION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 </w:t>
      </w:r>
      <w:r>
        <w:tab/>
      </w:r>
      <w:r>
        <w:rPr/>
        <w:t xml:space="preserve">$10,625,000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$10,625,000</w:t>
      </w:r>
    </w:p>
    <w:p>
      <w:pPr>
        <w:tabs>
          <w:tab w:val="right" w:leader="dot" w:pos="9936"/>
        </w:tabs>
        <w:ind w:left="0" w:right="0" w:firstLine="1440"/>
      </w:pPr>
      <w:r>
        <w:rPr/>
        <w:t xml:space="preserve">TOTAL APPROPRIATION</w:t>
      </w:r>
      <w:r>
        <w:tab/>
      </w:r>
      <w:r>
        <w:rPr/>
        <w:t xml:space="preserve">$21,250,000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to fully satisfy the first amended supplemental judgment and order and second amended final judgment on jury verdict issued by the Thurston county superior court on September 5, 2014, in the case of </w:t>
      </w:r>
      <w:r>
        <w:rPr>
          <w:i/>
        </w:rPr>
        <w:t xml:space="preserve">Rekhter v. DSHS</w:t>
      </w:r>
      <w:r>
        <w:rPr/>
        <w:t xml:space="preserve">, cause no. 07-2-00895-8.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SERVICES—LONG-TERM CARE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 </w:t>
      </w:r>
      <w:r>
        <w:tab/>
      </w:r>
      <w:r>
        <w:rPr/>
        <w:t xml:space="preserve">$24,769,000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$24,875,000</w:t>
      </w:r>
    </w:p>
    <w:p>
      <w:pPr>
        <w:tabs>
          <w:tab w:val="right" w:leader="dot" w:pos="9936"/>
        </w:tabs>
        <w:ind w:left="0" w:right="0" w:firstLine="1440"/>
      </w:pPr>
      <w:r>
        <w:rPr/>
        <w:t xml:space="preserve">TOTAL APPROPRIATION</w:t>
      </w:r>
      <w:r>
        <w:tab/>
      </w:r>
      <w:r>
        <w:rPr/>
        <w:t xml:space="preserve">$49,644,000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to fully satisfy the first amended supplemental judgment and order and second amended final judgment on jury verdict issued by the Thurston county superior court on September 5, 2014, in the case of </w:t>
      </w:r>
      <w:r>
        <w:rPr>
          <w:i/>
        </w:rPr>
        <w:t xml:space="preserve">Rekhter v. DSHS</w:t>
      </w:r>
      <w:r>
        <w:rPr/>
        <w:t xml:space="preserve">, cause no. 07-2-00895-8.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020</w:t>
      </w:r>
      <w:r>
        <w:rPr/>
        <w:t xml:space="preserve"> and 2012 1st sp.s. c 8 s 3 are each amended to read as follows:</w:t>
      </w:r>
    </w:p>
    <w:p>
      <w:pPr>
        <w:spacing w:before="0" w:after="0" w:line="408" w:lineRule="exact"/>
        <w:ind w:left="0" w:right="0" w:firstLine="576"/>
        <w:jc w:val="left"/>
      </w:pPr>
      <w:r>
        <w:rPr/>
        <w:t xml:space="preserve">(1) Four times each year the supervisor must prepare, subject to the approval of the economic and revenue forecast council under RCW 82.33.010:</w:t>
      </w:r>
    </w:p>
    <w:p>
      <w:pPr>
        <w:spacing w:before="0" w:after="0" w:line="408" w:lineRule="exact"/>
        <w:ind w:left="0" w:right="0" w:firstLine="576"/>
        <w:jc w:val="left"/>
      </w:pPr>
      <w:r>
        <w:rPr/>
        <w:t xml:space="preserve">(a) An official state economic and revenue forecast;</w:t>
      </w:r>
    </w:p>
    <w:p>
      <w:pPr>
        <w:spacing w:before="0" w:after="0" w:line="408" w:lineRule="exact"/>
        <w:ind w:left="0" w:right="0" w:firstLine="576"/>
        <w:jc w:val="left"/>
      </w:pPr>
      <w:r>
        <w:rPr/>
        <w:t xml:space="preserve">(b) An unofficial state economic and revenue forecast based on optimistic economic and revenue projections; and</w:t>
      </w:r>
    </w:p>
    <w:p>
      <w:pPr>
        <w:spacing w:before="0" w:after="0" w:line="408" w:lineRule="exact"/>
        <w:ind w:left="0" w:right="0" w:firstLine="576"/>
        <w:jc w:val="left"/>
      </w:pPr>
      <w:r>
        <w:rPr/>
        <w:t xml:space="preserve">(c) An unofficial state economic and revenue forecast based on pessimistic economic and revenue projections.</w:t>
      </w:r>
    </w:p>
    <w:p>
      <w:pPr>
        <w:spacing w:before="0" w:after="0" w:line="408" w:lineRule="exact"/>
        <w:ind w:left="0" w:right="0" w:firstLine="576"/>
        <w:jc w:val="left"/>
      </w:pPr>
      <w:r>
        <w:rPr/>
        <w:t xml:space="preserve">(2) The supervisor must submit forecasts prepared under this section, along with any unofficial forecasts provided under RCW 82.33.010, to the governor and the members of the committees on ways and means and the chairs of the committees on transportation of the senate and house of representatives, including one copy to the staff of each of the committees, on or before November 20th, February 20th in the even-numbered years, March 20th in the odd-numbered years, June 27th, and September 27th. </w:t>
      </w:r>
      <w:r>
        <w:rPr>
          <w:u w:val="single"/>
        </w:rPr>
        <w:t xml:space="preserve">In fiscal year 2015, the March 20th forecast shall be submitted on or before February 20, 2015.</w:t>
      </w:r>
      <w:r>
        <w:rPr/>
        <w:t xml:space="preserve"> All forecasts must include both estimated receipts and estimated revenues in conformance with generally accepted accounting principles as provided by RCW 43.88.037. In odd-numbered years, the period covered by forecasts for the state general fund and related funds must cover the current fiscal biennium and the next ensuing fiscal biennium. In even-numbered years, the period covered by the forecasts for the state general fund and related funds shall be current fiscal and the next two ensuing fiscal biennia.</w:t>
      </w:r>
    </w:p>
    <w:p>
      <w:pPr>
        <w:spacing w:before="0" w:after="0" w:line="408" w:lineRule="exact"/>
        <w:ind w:left="0" w:right="0" w:firstLine="576"/>
        <w:jc w:val="left"/>
      </w:pPr>
      <w:r>
        <w:rPr/>
        <w:t xml:space="preserve">(3) All agencies of state government must provide to the supervisor immediate access to all information relating to economic and revenue forecasts. Revenue collection information must be available to the supervisor the first business day following the conclusion of each collection period.</w:t>
      </w:r>
    </w:p>
    <w:p>
      <w:pPr>
        <w:spacing w:before="0" w:after="0" w:line="408" w:lineRule="exact"/>
        <w:ind w:left="0" w:right="0" w:firstLine="576"/>
        <w:jc w:val="left"/>
      </w:pPr>
      <w:r>
        <w:rPr/>
        <w:t xml:space="preserve">(4) The economic and revenue forecast supervisor and staff must co-locate and share information, data, and files with the tax research section of the department of revenue but may not duplicate the duties and functions of one another.</w:t>
      </w:r>
    </w:p>
    <w:p>
      <w:pPr>
        <w:spacing w:before="0" w:after="0" w:line="408" w:lineRule="exact"/>
        <w:ind w:left="0" w:right="0" w:firstLine="576"/>
        <w:jc w:val="left"/>
      </w:pPr>
      <w:r>
        <w:rPr/>
        <w:t xml:space="preserve">(5) As part of its forecasts under subsection (1) of this section, the supervisor must provide estimated revenue from tuition fees as defined in RCW 28B.15.020.</w:t>
      </w:r>
    </w:p>
    <w:p>
      <w:pPr>
        <w:spacing w:before="0" w:after="0" w:line="408" w:lineRule="exact"/>
        <w:ind w:left="0" w:right="0" w:firstLine="576"/>
        <w:jc w:val="left"/>
      </w:pPr>
      <w:r>
        <w:rPr/>
        <w:t xml:space="preserve">(6) The economic and revenue forecast council must, in consultation with the economic and revenue forecast work group created in RCW 82.33.040, review the existing economic and revenue forecast council revenue model, data, and methodologies and in light of recent economic changes, engage outside experts if necessary, and recommend changes to the economic and revenue forecast council revenue forecasting process to increase confidence and promote accuracy in the revenue forecast. The recommendations are due by September 30, 2012, and every five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are each added to 2013 2nd sp.s. c 4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0943f28678a40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4320f23b6748d8" /><Relationship Type="http://schemas.openxmlformats.org/officeDocument/2006/relationships/footer" Target="/word/footer.xml" Id="R10943f28678a40f0" /></Relationships>
</file>