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f4cb4412d4b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21, 2015</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1068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Public Safety (originally sponsored by Representatives Orwall, Kagi, Appleton, Gregerson, Reykdal, Carlyle, Stanford, Sawyer, Fitzgibbon, Jinkins, Cody, Hudgins, Senn, Clibborn, Moeller, Riccelli, Moscoso, Farrell, and Fey)</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examination kits; adding a new section to chapter 70.125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When a law enforcement agency receives a sexual assault examination kit, the law enforcement agency must, within thirty days of its receipt, submit a request for laboratory examination to the Washington state patrol crime laboratory for prioritization for testing by it or another accredited laboratory that holds an outsourcing agreement with the Washington state patrol if:</w:t>
      </w:r>
    </w:p>
    <w:p>
      <w:pPr>
        <w:spacing w:before="0" w:after="0" w:line="408" w:lineRule="exact"/>
        <w:ind w:left="0" w:right="0" w:firstLine="576"/>
        <w:jc w:val="left"/>
      </w:pPr>
      <w:r>
        <w:rPr/>
        <w:t xml:space="preserve">(a) Consent has been given by the victim; or</w:t>
      </w:r>
    </w:p>
    <w:p>
      <w:pPr>
        <w:spacing w:before="0" w:after="0" w:line="408" w:lineRule="exact"/>
        <w:ind w:left="0" w:right="0" w:firstLine="576"/>
        <w:jc w:val="left"/>
      </w:pPr>
      <w:r>
        <w:rPr/>
        <w:t xml:space="preserve">(b) The victim is a person under the age of eighteen who is not emancipated pursuant to chapter 13.64 RCW.</w:t>
      </w:r>
    </w:p>
    <w:p>
      <w:pPr>
        <w:spacing w:before="0" w:after="0" w:line="408" w:lineRule="exact"/>
        <w:ind w:left="0" w:right="0" w:firstLine="576"/>
        <w:jc w:val="left"/>
      </w:pPr>
      <w:r>
        <w:rPr/>
        <w:t xml:space="preserve">(2) Subject to available funding, the Washington state patrol crime laboratory must give priority to the laboratory examination of sexual assault examination kits at the request of a local law enforcement agency for:</w:t>
      </w:r>
    </w:p>
    <w:p>
      <w:pPr>
        <w:spacing w:before="0" w:after="0" w:line="408" w:lineRule="exact"/>
        <w:ind w:left="0" w:right="0" w:firstLine="576"/>
        <w:jc w:val="left"/>
      </w:pPr>
      <w:r>
        <w:rPr/>
        <w:t xml:space="preserve">(a) Active investigations and cases with impending court dates;</w:t>
      </w:r>
    </w:p>
    <w:p>
      <w:pPr>
        <w:spacing w:before="0" w:after="0" w:line="408" w:lineRule="exact"/>
        <w:ind w:left="0" w:right="0" w:firstLine="576"/>
        <w:jc w:val="left"/>
      </w:pPr>
      <w:r>
        <w:rPr/>
        <w:t xml:space="preserve">(b) Active investigations where public safety is an immediate concern;</w:t>
      </w:r>
    </w:p>
    <w:p>
      <w:pPr>
        <w:spacing w:before="0" w:after="0" w:line="408" w:lineRule="exact"/>
        <w:ind w:left="0" w:right="0" w:firstLine="576"/>
        <w:jc w:val="left"/>
      </w:pPr>
      <w:r>
        <w:rPr/>
        <w:t xml:space="preserve">(c) Violent crimes investigations, including active sexual assault investigations;</w:t>
      </w:r>
    </w:p>
    <w:p>
      <w:pPr>
        <w:spacing w:before="0" w:after="0" w:line="408" w:lineRule="exact"/>
        <w:ind w:left="0" w:right="0" w:firstLine="576"/>
        <w:jc w:val="left"/>
      </w:pPr>
      <w:r>
        <w:rPr/>
        <w:t xml:space="preserve">(d) Postconviction cases; and</w:t>
      </w:r>
    </w:p>
    <w:p>
      <w:pPr>
        <w:spacing w:before="0" w:after="0" w:line="408" w:lineRule="exact"/>
        <w:ind w:left="0" w:right="0" w:firstLine="576"/>
        <w:jc w:val="left"/>
      </w:pPr>
      <w:r>
        <w:rPr/>
        <w:t xml:space="preserve">(e) Other crimes' investigations and nonactive investigations, such as previously unsubmitted older sexual assault kits or recently collected sexual assault kits that the submitting agency has determined to be lower priority based on their initial investigation.</w:t>
      </w:r>
    </w:p>
    <w:p>
      <w:pPr>
        <w:spacing w:before="0" w:after="0" w:line="408" w:lineRule="exact"/>
        <w:ind w:left="0" w:right="0" w:firstLine="576"/>
        <w:jc w:val="left"/>
      </w:pPr>
      <w:r>
        <w:rPr/>
        <w:t xml:space="preserve">(3) The failure of a law enforcement agency to submit a request for laboratory examination within the time prescribed under this section does not constitute grounds in any criminal proceeding for challenging the validity of a DNA evidence association, and any evidence obtained from the sexual assault examination kit may not be excluded by a court on those grounds.</w:t>
      </w:r>
    </w:p>
    <w:p>
      <w:pPr>
        <w:spacing w:before="0" w:after="0" w:line="408" w:lineRule="exact"/>
        <w:ind w:left="0" w:right="0" w:firstLine="576"/>
        <w:jc w:val="left"/>
      </w:pPr>
      <w:r>
        <w:rPr/>
        <w:t xml:space="preserve">(4)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(5) Nothing in this section may be construed to create a private right of action or claim on the part of any individual, entity, or agency against any law enforcement agency or any contractor of any law enforcement agency.</w:t>
      </w:r>
    </w:p>
    <w:p>
      <w:pPr>
        <w:spacing w:before="0" w:after="0" w:line="408" w:lineRule="exact"/>
        <w:ind w:left="0" w:right="0" w:firstLine="576"/>
        <w:jc w:val="left"/>
      </w:pPr>
      <w:r>
        <w:rPr/>
        <w:t xml:space="preserve">(6) This section applies prospectively only and not retroactively. It only applies to sexual assault examinations performed on or after the effective date of this section.</w:t>
      </w:r>
    </w:p>
    <w:p>
      <w:pPr>
        <w:spacing w:before="0" w:after="0" w:line="408" w:lineRule="exact"/>
        <w:ind w:left="0" w:right="0" w:firstLine="576"/>
        <w:jc w:val="left"/>
      </w:pPr>
      <w:r>
        <w:rPr/>
        <w:t xml:space="preserve">(7)(a) Until June 30, 2018, the Washington state patrol shall compile the following information related to the sexual assault examination kits identified in this section:</w:t>
      </w:r>
    </w:p>
    <w:p>
      <w:pPr>
        <w:spacing w:before="0" w:after="0" w:line="408" w:lineRule="exact"/>
        <w:ind w:left="0" w:right="0" w:firstLine="576"/>
        <w:jc w:val="left"/>
      </w:pPr>
      <w:r>
        <w:rPr/>
        <w:t xml:space="preserve">(i) The number of requests for laboratory examination made for sexual assault examination kits and the law enforcement agencies that submitted the requests; and</w:t>
      </w:r>
    </w:p>
    <w:p>
      <w:pPr>
        <w:spacing w:before="0" w:after="0" w:line="408" w:lineRule="exact"/>
        <w:ind w:left="0" w:right="0" w:firstLine="576"/>
        <w:jc w:val="left"/>
      </w:pPr>
      <w:r>
        <w:rPr/>
        <w:t xml:space="preserve">(ii) The progress made towards testing the sexual assault examination kits, including the status of requests for laboratory examination made by each law enforcement agency.</w:t>
      </w:r>
    </w:p>
    <w:p>
      <w:pPr>
        <w:spacing w:before="0" w:after="0" w:line="408" w:lineRule="exact"/>
        <w:ind w:left="0" w:right="0" w:firstLine="576"/>
        <w:jc w:val="left"/>
      </w:pPr>
      <w:r>
        <w:rPr/>
        <w:t xml:space="preserve">(b) The Washington state patrol shall make recommendations for increasing the progress on testing any untested sexual assault examination kits.</w:t>
      </w:r>
    </w:p>
    <w:p>
      <w:pPr>
        <w:spacing w:before="0" w:after="0" w:line="408" w:lineRule="exact"/>
        <w:ind w:left="0" w:right="0" w:firstLine="576"/>
        <w:jc w:val="left"/>
      </w:pPr>
      <w:r>
        <w:rPr/>
        <w:t xml:space="preserve">(c) Beginning in 2015, the Washington state patrol shall report its findings and recommendations annually to the appropriate committees of the legislature and the governor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t xml:space="preserve">(a) A legislative task force is established to review best practice models for managing all aspects of sexual assault examinations and for reducing the number of untested sexual assault examination kits in Washington state that were collected prior to the effective date of this 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Washington association of prosecuting attorneys;</w:t>
      </w:r>
    </w:p>
    <w:p>
      <w:pPr>
        <w:spacing w:before="0" w:after="0" w:line="408" w:lineRule="exact"/>
        <w:ind w:left="0" w:right="0" w:firstLine="576"/>
        <w:jc w:val="left"/>
      </w:pPr>
      <w:r>
        <w:rPr/>
        <w:t xml:space="preserve">(IV) The Washington defender association or the Washington association of criminal defense lawyers;</w:t>
      </w:r>
    </w:p>
    <w:p>
      <w:pPr>
        <w:spacing w:before="0" w:after="0" w:line="408" w:lineRule="exact"/>
        <w:ind w:left="0" w:right="0" w:firstLine="576"/>
        <w:jc w:val="left"/>
      </w:pPr>
      <w:r>
        <w:rPr/>
        <w:t xml:space="preserve">(V) The Washington association of cities;</w:t>
      </w:r>
    </w:p>
    <w:p>
      <w:pPr>
        <w:spacing w:before="0" w:after="0" w:line="408" w:lineRule="exact"/>
        <w:ind w:left="0" w:right="0" w:firstLine="576"/>
        <w:jc w:val="left"/>
      </w:pPr>
      <w:r>
        <w:rPr/>
        <w:t xml:space="preserve">(VI) The Washington association of county officials;</w:t>
      </w:r>
    </w:p>
    <w:p>
      <w:pPr>
        <w:spacing w:before="0" w:after="0" w:line="408" w:lineRule="exact"/>
        <w:ind w:left="0" w:right="0" w:firstLine="576"/>
        <w:jc w:val="left"/>
      </w:pPr>
      <w:r>
        <w:rPr/>
        <w:t xml:space="preserve">(VII) The Washington coalition of sexual assault programs;</w:t>
      </w:r>
    </w:p>
    <w:p>
      <w:pPr>
        <w:spacing w:before="0" w:after="0" w:line="408" w:lineRule="exact"/>
        <w:ind w:left="0" w:right="0" w:firstLine="576"/>
        <w:jc w:val="left"/>
      </w:pPr>
      <w:r>
        <w:rPr/>
        <w:t xml:space="preserve">(VIII) The office of crime victims advocacy;</w:t>
      </w:r>
    </w:p>
    <w:p>
      <w:pPr>
        <w:spacing w:before="0" w:after="0" w:line="408" w:lineRule="exact"/>
        <w:ind w:left="0" w:right="0" w:firstLine="576"/>
        <w:jc w:val="left"/>
      </w:pPr>
      <w:r>
        <w:rPr/>
        <w:t xml:space="preserve">(IX) The Washington state hospital association;</w:t>
      </w:r>
    </w:p>
    <w:p>
      <w:pPr>
        <w:spacing w:before="0" w:after="0" w:line="408" w:lineRule="exact"/>
        <w:ind w:left="0" w:right="0" w:firstLine="576"/>
        <w:jc w:val="left"/>
      </w:pPr>
      <w:r>
        <w:rPr/>
        <w:t xml:space="preserve">(X) The Washington state forensic investigations council;</w:t>
      </w:r>
    </w:p>
    <w:p>
      <w:pPr>
        <w:spacing w:before="0" w:after="0" w:line="408" w:lineRule="exact"/>
        <w:ind w:left="0" w:right="0" w:firstLine="576"/>
        <w:jc w:val="left"/>
      </w:pPr>
      <w:r>
        <w:rPr/>
        <w:t xml:space="preserve">(XI) A public institution of higher education as defined in RCW 28B.10.016; and</w:t>
      </w:r>
    </w:p>
    <w:p>
      <w:pPr>
        <w:spacing w:before="0" w:after="0" w:line="408" w:lineRule="exact"/>
        <w:ind w:left="0" w:right="0" w:firstLine="576"/>
        <w:jc w:val="left"/>
      </w:pPr>
      <w:r>
        <w:rPr/>
        <w:t xml:space="preserve">(XII) A private higher education institution as defined in RCW 28B.07.020; and</w:t>
      </w:r>
    </w:p>
    <w:p>
      <w:pPr>
        <w:spacing w:before="0" w:after="0" w:line="408" w:lineRule="exact"/>
        <w:ind w:left="0" w:right="0" w:firstLine="576"/>
        <w:jc w:val="left"/>
      </w:pPr>
      <w:r>
        <w:rPr/>
        <w:t xml:space="preserve">(B) Two members representing survivors of sexual assault.</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w:t>
      </w:r>
    </w:p>
    <w:p>
      <w:pPr>
        <w:spacing w:before="0" w:after="0" w:line="408" w:lineRule="exact"/>
        <w:ind w:left="0" w:right="0" w:firstLine="576"/>
        <w:jc w:val="left"/>
      </w:pPr>
      <w:r>
        <w:rPr/>
        <w:t xml:space="preserve">(d) Researching the best practice models both in state and from other states for collaborative responses to victims of sexual assault from the point the sexual assault examination kit is collected to the conclusion of the investigation and providing recommendations regarding any existing gaps in Washington and resources that may be necessary to address those gaps; and</w:t>
      </w:r>
    </w:p>
    <w:p>
      <w:pPr>
        <w:spacing w:before="0" w:after="0" w:line="408" w:lineRule="exact"/>
        <w:ind w:left="0" w:right="0" w:firstLine="576"/>
        <w:jc w:val="left"/>
      </w:pPr>
      <w:r>
        <w:rPr/>
        <w:t xml:space="preserve">(e) Researching, identifying, and making recommendations for securing nonstate funding for testing the sexual assault examination kits, and reporting on progress made toward securing such funding.</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2015. The task force shall submit a preliminary report regarding its initial findings and recommendations to the appropriate committees of the legislature and the governor no later than December 1, 2015.</w:t>
      </w:r>
    </w:p>
    <w:p>
      <w:pPr>
        <w:spacing w:before="0" w:after="0" w:line="408" w:lineRule="exact"/>
        <w:ind w:left="0" w:right="0" w:firstLine="576"/>
        <w:jc w:val="left"/>
      </w:pPr>
      <w:r>
        <w:rPr/>
        <w:t xml:space="preserve">(7) The task force must meet no less than twice annually.</w:t>
      </w:r>
    </w:p>
    <w:p>
      <w:pPr>
        <w:spacing w:before="0" w:after="0" w:line="408" w:lineRule="exact"/>
        <w:ind w:left="0" w:right="0" w:firstLine="576"/>
        <w:jc w:val="left"/>
      </w:pPr>
      <w:r>
        <w:rPr/>
        <w:t xml:space="preserve">(8) The task force shall report its findings and recommendations to the appropriate committees of the legislature and the governor by September 30, 2016, and by September 30th of each subsequent year.</w:t>
      </w:r>
    </w:p>
    <w:p>
      <w:pPr>
        <w:spacing w:before="0" w:after="0" w:line="408" w:lineRule="exact"/>
        <w:ind w:left="0" w:right="0" w:firstLine="576"/>
        <w:jc w:val="left"/>
      </w:pPr>
      <w:r>
        <w:rPr/>
        <w:t xml:space="preserve">(9) This section expires June 30, 2018.</w:t>
      </w:r>
    </w:p>
    <w:p/>
    <w:p>
      <w:pPr>
        <w:jc w:val="center"/>
      </w:pPr>
      <w:r>
        <w:rPr>
          <w:b/>
        </w:rPr>
        <w:t>--- END ---</w:t>
      </w:r>
    </w:p>
    <w:sectPr>
      <w:pgNumType w:start="1"/>
      <w:footerReference xmlns:r="http://schemas.openxmlformats.org/officeDocument/2006/relationships" r:id="Rad56e18cba2d45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d7f8c557bf4460" /><Relationship Type="http://schemas.openxmlformats.org/officeDocument/2006/relationships/footer" Target="/word/footer.xml" Id="Rad56e18cba2d45ad" /></Relationships>
</file>