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21d76b3d147e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1010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9,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8,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1010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1010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Johnson, Cody, Harris, Moeller, Manweller, Walsh, Clibborn, Robinson, Tharinger, Riccelli, Rodne, Short, Gregerson, and Buys)</w:t>
      </w:r>
    </w:p>
    <w:p/>
    <w:p>
      <w:r>
        <w:rPr>
          <w:t xml:space="preserve">READ FIRST TIME 02/03/15.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referral of medical cases to occupational therapists; and amending RCW 18.59.100.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59</w:t>
      </w:r>
      <w:r>
        <w:rPr/>
        <w:t xml:space="preserve">.</w:t>
      </w:r>
      <w:r>
        <w:t xml:space="preserve">100</w:t>
      </w:r>
      <w:r>
        <w:rPr/>
        <w:t xml:space="preserve"> and 1999 c 333 s 3 are each amended to read as follows:</w:t>
      </w:r>
    </w:p>
    <w:p>
      <w:pPr>
        <w:ind w:left="0" w:right="0" w:firstLine="360"/>
        <w:jc w:val="both"/>
      </w:pPr>
      <w:r>
        <w:rPr/>
        <w:t xml:space="preserve">An occupational therapist shall, after evaluating a patient and if the case is a medical one, refer the case to a physician for appropriate medical direction if such direction is lacking. Treatment by an occupational therapist of such a medical case may take place only upon the referral of a physician, osteopathic physician, podiatric physician and surgeon, naturopath, chiropractor, physician assistant, psychologist, </w:t>
      </w:r>
      <w:r>
        <w:rPr>
          <w:u w:val="single"/>
        </w:rPr>
        <w:t xml:space="preserve">optometrist,</w:t>
      </w:r>
      <w:r>
        <w:rPr/>
        <w:t xml:space="preserve"> or advanced registered nurse practitioner licensed to practice in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25bcb82ddb0425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1010.PL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dac7078b9479e" /><Relationship Type="http://schemas.openxmlformats.org/officeDocument/2006/relationships/footer" Target="/word/footer.xml" Id="R425bcb82ddb04251" /></Relationships>
</file>