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d51ba1e9c44a36" /></Relationships>
</file>

<file path=word/document.xml><?xml version="1.0" encoding="utf-8"?>
<w:document xmlns:w="http://schemas.openxmlformats.org/wordprocessingml/2006/main">
  <w:body>
    <w:p>
      <w:r>
        <w:t>H-3473.2</w:t>
      </w:r>
    </w:p>
    <w:p>
      <w:pPr>
        <w:jc w:val="center"/>
      </w:pPr>
      <w:r>
        <w:t>_______________________________________________</w:t>
      </w:r>
    </w:p>
    <w:p/>
    <w:p>
      <w:pPr>
        <w:jc w:val="center"/>
      </w:pPr>
      <w:r>
        <w:rPr>
          <w:b/>
        </w:rPr>
        <w:t>HOUSE JOINT RESOLUTION 4214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Shea, Orcutt, Hargrove, Griffey, and Haler</w:t>
      </w:r>
    </w:p>
    <w:p/>
    <w:p>
      <w:r>
        <w:rPr>
          <w:t xml:space="preserve">Read first time 01/20/16.  </w:t>
        </w:rPr>
      </w:r>
      <w:r>
        <w:rPr>
          <w:t xml:space="preserve">Referred to Committee on Finance.</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II of the Constitution of the state of Washington by adding a new section to read as follows:</w:t>
      </w:r>
    </w:p>
    <w:p>
      <w:pPr>
        <w:spacing w:before="0" w:after="0" w:line="408" w:lineRule="exact"/>
        <w:ind w:left="0" w:right="0" w:firstLine="576"/>
        <w:jc w:val="left"/>
      </w:pPr>
      <w:r>
        <w:rPr/>
        <w:t xml:space="preserve">Article II, section . . . (1) Any action or combination of actions by the legislature that raises taxes may be taken only if approved by at least a two-thirds vote of both the house of representatives and the senate. Pursuant to the referendum power set forth in Article II, section 1(b) of this Constitution, tax increases may be referred to the voters for their approval or rejection at an election.</w:t>
      </w:r>
    </w:p>
    <w:p>
      <w:pPr>
        <w:spacing w:before="0" w:after="0" w:line="408" w:lineRule="exact"/>
        <w:ind w:left="0" w:right="0" w:firstLine="576"/>
        <w:jc w:val="left"/>
      </w:pPr>
      <w:r>
        <w:rPr/>
        <w:t xml:space="preserve">(2) For the purposes of this section, "raises taxes" means any action or combination of actions by the state legislature that increases state tax revenue deposited in any fund, budget, or account, regardless of whether the revenues are deposited into the general fund.</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6c3936657e38412f"/>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67f403a2d44fc4" /><Relationship Type="http://schemas.openxmlformats.org/officeDocument/2006/relationships/footer" Target="/word/footer.xml" Id="R6c3936657e38412f" /></Relationships>
</file>