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e845b0ed94ee0" /></Relationships>
</file>

<file path=word/document.xml><?xml version="1.0" encoding="utf-8"?>
<w:document xmlns:w="http://schemas.openxmlformats.org/wordprocessingml/2006/main">
  <w:body>
    <w:p>
      <w:r>
        <w:t>H-0003.1</w:t>
      </w:r>
    </w:p>
    <w:p>
      <w:pPr>
        <w:jc w:val="center"/>
      </w:pPr>
      <w:r>
        <w:t>_______________________________________________</w:t>
      </w:r>
    </w:p>
    <w:p/>
    <w:p>
      <w:pPr>
        <w:jc w:val="center"/>
      </w:pPr>
      <w:r>
        <w:rPr>
          <w:b/>
        </w:rPr>
        <w:t>HOUSE JOINT RESOLUTION 4205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Reykdal, Klippert, Manweller, Rodne, Hayes, Buys, Vick, Johnson, Stanford, Bergquist, and Condotta</w:t>
      </w:r>
    </w:p>
    <w:p/>
    <w:p>
      <w:r>
        <w:rPr>
          <w:t xml:space="preserve">Read first time 01/26/15.  </w:t>
        </w:rPr>
      </w:r>
      <w:r>
        <w:rPr>
          <w:t xml:space="preserve">Referred to Committee on Appropriations.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(a) All revenues from any state taxes levied for the purpose of funding local government public infrastructure must be paid into the state treasury and deposited into the public works assistance account to be used exclusively for funding local government public works projects. Such revenues include the state solid waste collection tax, the portion of the state public utilities tax dedicated to funding local public works projects, and the portion of the state real estate excise tax deposited in the public works assistance account, as well as repayments of loans made to local governments from the account and any other revenues dedicated in law to the account. The legislature may appropriate moneys from the public works assistance account only for the purpose of funding local government public works projects; however, the legislature may appropriate such revenues for other purposes with the affirmative vote of two-thirds of the members elected to each house.</w:t>
      </w:r>
    </w:p>
    <w:p>
      <w:pPr>
        <w:spacing w:before="0" w:after="0" w:line="408" w:lineRule="exact"/>
        <w:ind w:left="0" w:right="0" w:firstLine="576"/>
        <w:jc w:val="left"/>
      </w:pPr>
      <w:r>
        <w:rPr/>
        <w:t xml:space="preserve">(b) This section takes effect January 1, 2016.</w:t>
      </w:r>
    </w:p>
    <w:p>
      <w:pPr>
        <w:spacing w:before="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f46884df99de484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HJR 4205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eb980ca9514244" /><Relationship Type="http://schemas.openxmlformats.org/officeDocument/2006/relationships/footer" Target="/word/footer.xml" Id="Rf46884df99de4846" /></Relationships>
</file>