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a1e4edc9db4679" /></Relationships>
</file>

<file path=word/document.xml><?xml version="1.0" encoding="utf-8"?>
<w:document xmlns:w="http://schemas.openxmlformats.org/wordprocessingml/2006/main">
  <w:body>
    <w:p>
      <w:r>
        <w:t>H-1148.1</w:t>
      </w:r>
    </w:p>
    <w:p>
      <w:pPr>
        <w:jc w:val="center"/>
      </w:pPr>
      <w:r>
        <w:t>_______________________________________________</w:t>
      </w:r>
    </w:p>
    <w:p/>
    <w:p>
      <w:pPr>
        <w:jc w:val="center"/>
      </w:pPr>
      <w:r>
        <w:rPr>
          <w:b/>
        </w:rPr>
        <w:t>HOUSE JOINT MEMORIAL 4004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Tarleton, Lytton, S. Hunt, Van De Wege, Kirby, Sawyer, Riccelli, Robinson, Moscoso, Hurst, Jinkins, Farrell, Walkinshaw, Gregerson, Cody, Sells, Peterson, Takko, Appleton, Goodman, Kilduff, Moeller, Carlyle, Morris, Tharinger, Fitzgibbon, Bergquist, Stanford, Dunshee, Pollet, Fey, Reykdal, and Ormsby</w:t>
      </w:r>
    </w:p>
    <w:p/>
    <w:p>
      <w:r>
        <w:rPr>
          <w:t xml:space="preserve">Read first time 02/02/15.  </w:t>
        </w:rPr>
      </w:r>
      <w:r>
        <w:rPr>
          <w:t xml:space="preserve">Referred to Committee on State Government.</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MAJORITY LEADER OF THE SENATE AND MINORITY LEADERS OF THE SENATE AND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There has been a sudden and substantial increase in large financial contributions, in donations made and used anonymously, and in donations made to entities nominally separate from the candidates and outside their control to affect the state and federal elections in 2012,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w:t>
      </w:r>
    </w:p>
    <w:p>
      <w:pPr>
        <w:spacing w:before="0" w:after="0" w:line="408" w:lineRule="exact"/>
        <w:ind w:left="0" w:right="0" w:firstLine="576"/>
        <w:jc w:val="left"/>
      </w:pPr>
      <w:r>
        <w:rPr/>
        <w:t xml:space="preserve">NOW, THEREFORE, Your Memorialists respectfully pray that the congress of the United States exercise the authority granted to it under Article V of the Constitution to pass and send to the several states for ratification an amendment to the Constitution to return to Congress and the legislatures of the states the authority to regulate the size and timing of contributions to election campaigns, whether made to candidates or to ballot measures, and whether such contributions are made directly to campaigns or to groups making independent expenditures related to such campaigns, the authority to distinguish between natural persons and other artificial entities created by law, including by prohibiting such entities from spending money to influence elections, and the authority to require timely public disclosure of the source and amount of all such contributions.</w:t>
      </w:r>
    </w:p>
    <w:p>
      <w:pPr>
        <w:spacing w:before="0" w:after="0" w:line="408" w:lineRule="exact"/>
        <w:ind w:left="0" w:right="0" w:firstLine="576"/>
        <w:jc w:val="left"/>
      </w:pPr>
      <w:r>
        <w:rPr/>
        <w:t xml:space="preserve">BE IT RESOLVED, That copies of this Memorial be immediately transmitted to the Majority Leader of the Senate and Minority Leaders of the Senate and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058f64f0dfa94f9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1bfe494a94c36" /><Relationship Type="http://schemas.openxmlformats.org/officeDocument/2006/relationships/footer" Target="/word/footer.xml" Id="R058f64f0dfa94f90" /></Relationships>
</file>