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bab576e5854a4d" /></Relationships>
</file>

<file path=word/document.xml><?xml version="1.0" encoding="utf-8"?>
<w:document xmlns:w="http://schemas.openxmlformats.org/wordprocessingml/2006/main">
  <w:body>
    <w:p>
      <w:r>
        <w:t>H-4445.3</w:t>
      </w:r>
    </w:p>
    <w:p>
      <w:pPr>
        <w:jc w:val="center"/>
      </w:pPr>
      <w:r>
        <w:t>_______________________________________________</w:t>
      </w:r>
    </w:p>
    <w:p/>
    <w:p>
      <w:pPr>
        <w:jc w:val="center"/>
      </w:pPr>
      <w:r>
        <w:rPr>
          <w:b/>
        </w:rPr>
        <w:t>HOUSE BILL 2994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Walkinshaw, Gregerson, Farrell, Jinkins, Frame, Riccelli, Tharinger, Moscoso, Kuderer, Cody, Bergquist, Pollet, Sells, Stanford, Appleton, Ryu, Reykdal, Ortiz-Self, Hudgins, Wylie, S. Hunt, Van De Wege, Moeller, Tarleton, Santos, Kirby, Ormsby, and Peterson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accountability and transparency for aerospace-related tax incentives; amending RCW 82.04.4461; amending 2013 3rd sp.s. c 2 s 1 (uncodified); reenacting and amending RCW 82.04.260; adding a new section to chapter 82.04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2 s 1</w:t>
      </w:r>
      <w:r>
        <w:rPr/>
        <w:t xml:space="preserve"> (uncodified) is amended to read as follows:</w:t>
      </w:r>
    </w:p>
    <w:p>
      <w:pPr>
        <w:spacing w:before="0" w:after="0" w:line="408" w:lineRule="exact"/>
        <w:ind w:left="0" w:right="0" w:firstLine="576"/>
        <w:jc w:val="left"/>
      </w:pPr>
      <w:r>
        <w:rPr/>
        <w:t xml:space="preserve">(1) The legislature finds that the people of Washington have benefited enormously from the presence of the aerospace industry in Washington state. The legislature further finds that the industry continues to provide good wages and benefits for the thousands of engineers, mechanics, and support staff working directly in the industry throughout the state. The legislature further finds that suppliers and vendors that support the aerospace industry in turn provide a range of well-paying jobs. In 2003, and again in 2006, and 2007, the legislature determined it was in the public interest to encourage the continued presence of the aerospace industry through the provision of tax incentives. To this end, and in recognition of the continuing extreme importance of the aerospace industry in Washington, it is the legislature's intent to reaffirm and build upon prior aerospace tax incentive legislation in a fiscally prudent manner.</w:t>
      </w:r>
    </w:p>
    <w:p>
      <w:pPr>
        <w:spacing w:before="0" w:after="0" w:line="408" w:lineRule="exact"/>
        <w:ind w:left="0" w:right="0" w:firstLine="576"/>
        <w:jc w:val="left"/>
      </w:pPr>
      <w:r>
        <w:rPr/>
        <w:t xml:space="preserve">(2) The legislature categorizes the tax preferences extended in this act as intended to create or retain jobs, as indicated in RCW 82.32.808(2)(c).</w:t>
      </w:r>
    </w:p>
    <w:p>
      <w:pPr>
        <w:spacing w:before="0" w:after="0" w:line="408" w:lineRule="exact"/>
        <w:ind w:left="0" w:right="0" w:firstLine="576"/>
        <w:jc w:val="left"/>
      </w:pPr>
      <w:r>
        <w:rPr/>
        <w:t xml:space="preserve">(3) It is the legislature's specific public policy objective to maintain and grow Washington's aerospace industry workforce </w:t>
      </w:r>
      <w:r>
        <w:rPr>
          <w:u w:val="single"/>
        </w:rPr>
        <w:t xml:space="preserve">to one hundred thousand five hundred employment positions by 2040</w:t>
      </w:r>
      <w:r>
        <w:rPr/>
        <w:t xml:space="preserve">. To help achieve this public policy objective, it is the legislature's intent to conditionally extend aerospace industry tax preferences until July 1, 2040, in recognition of intent by the state's aerospace industry sector to maintain and grow its workforce within the state. </w:t>
      </w:r>
      <w:r>
        <w:rPr>
          <w:u w:val="single"/>
        </w:rPr>
        <w:t xml:space="preserve">It is also the legislature's specific public policy objective to provide tangible taxpayer accountability for Washington's largest aerospace company by adopting a minimum employment baseline that must be met by the company to fully qualify for aerospace tax incentives, similar to aerospace job standards created in other states such as Alabama, South Carolina, and Missouri.</w:t>
      </w:r>
    </w:p>
    <w:p>
      <w:pPr>
        <w:spacing w:before="0" w:after="0" w:line="408" w:lineRule="exact"/>
        <w:ind w:left="0" w:right="0" w:firstLine="576"/>
        <w:jc w:val="left"/>
      </w:pPr>
      <w:r>
        <w:rPr/>
        <w:t xml:space="preserve">(4) The joint legislative audit and review committee must review the tax preferences provided in this act and report to the legislature by December 1, 2019, and every five years thereafter. As part of its tax preference reviews, the committee must specifically assess changes in aerospace industry employment in Washington in comparison with other states and internationally</w:t>
      </w:r>
      <w:r>
        <w:rPr>
          <w:u w:val="single"/>
        </w:rPr>
        <w:t xml:space="preserve">, assess whether aerospace industry employment within Washington is on target to reach an employment level of one hundred thousand five hundred by 2040, and assess growth in high-wage employment, as defined by an annual or hourly wage equal or greater than the state median wage</w:t>
      </w:r>
      <w:r>
        <w:rPr/>
        <w:t xml:space="preserve">. To the extent practicable, the committee must use occupational data statistics provided by the bureau of labor statistics and state agencies responsible for administering unemployment insurance to perform this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2015 3rd sp.s. c 6 s 602 and 2015 3rd sp.s. c 6 s 205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2025,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w:t>
      </w:r>
      <w:r>
        <w:rPr>
          <w:u w:val="single"/>
        </w:rPr>
        <w:t xml:space="preserve">Except as provided in (f) of this subsection (11),</w:t>
      </w:r>
      <w:r>
        <w:rPr/>
        <w:t xml:space="preserve">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u w:val="single"/>
        </w:rPr>
        <w:t xml:space="preserve">(f) Beginning January 1, 2017, a significant aerospace firm, as defined in section 4 of this act, may not claim the preferential rate under this subsection (11) if an education legacy contribution is required under section 4 of this act and it has not been remitted to the department.</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w:t>
      </w:r>
      <w:r>
        <w:rPr>
          <w:u w:val="single"/>
        </w:rPr>
        <w:t xml:space="preserve">Beginning January 1, 2017, a significant aerospace firm, as defined in section 4 of this act, may not claim the credit authorized in this section if an education legacy contribution is required under section 4 of this act and it has not been remitted to the department.</w:t>
      </w:r>
    </w:p>
    <w:p>
      <w:pPr>
        <w:spacing w:before="0" w:after="0" w:line="408" w:lineRule="exact"/>
        <w:ind w:left="0" w:right="0" w:firstLine="576"/>
        <w:jc w:val="left"/>
      </w:pPr>
      <w:r>
        <w:rPr>
          <w:u w:val="single"/>
        </w:rPr>
        <w:t xml:space="preserve">(6)</w:t>
      </w:r>
      <w:r>
        <w:rPr/>
        <w:t xml:space="preserve">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Credit may not be claimed for expenditures for which a credit is claimed under RCW 82.04.4452.</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This section expires July 1,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(1), if a significant aerospace firm has an employment level that is below the employment baseline, as determined in October of the current calendar year by the department, the significant aerospace firm must make the education legacy contribution determined under subsection (2) of this section before the firm can claim the preferential rate under RCW 82.04.260(11) or the credit in RCW 82.04.4461 in the subsequent calendar year.</w:t>
      </w:r>
    </w:p>
    <w:p>
      <w:pPr>
        <w:spacing w:before="0" w:after="0" w:line="408" w:lineRule="exact"/>
        <w:ind w:left="0" w:right="0" w:firstLine="576"/>
        <w:jc w:val="left"/>
      </w:pPr>
      <w:r>
        <w:rPr/>
        <w:t xml:space="preserve">(b) If Washington's average employment for the first quarter of the current calendar year is thirty-three percent or more of the total average employment for the first quarter of the current calendar year for the states of Washington, California, Texas, Arizona, Missouri, Alabama, Pennsylvania, and South Carolina, the significant aerospace firm is not required to make the education legacy contribution as provided in (a) of this subsection (1). In making the determination under this subsection (1)(b), the department must use the quarterly census of employment and wages, as reported to the federal bureau of labor statistics, for all aerospace product and parts manufacturing.</w:t>
      </w:r>
    </w:p>
    <w:p>
      <w:pPr>
        <w:spacing w:before="0" w:after="0" w:line="408" w:lineRule="exact"/>
        <w:ind w:left="0" w:right="0" w:firstLine="576"/>
        <w:jc w:val="left"/>
      </w:pPr>
      <w:r>
        <w:rPr/>
        <w:t xml:space="preserve">(2) If an education legacy contribution is required under subsection (1) of this section, the contribution is calculated by multiplying two thousand five hundred dollars by the difference of the employment baseline and the employment level. Education legacy contributions received by the department under this section must be deposited in the education legacy trust account created in RCW 83.100.230.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"Employment baseline" means eighty-three thousand two hundred ninety-five employment positions.</w:t>
      </w:r>
    </w:p>
    <w:p>
      <w:pPr>
        <w:spacing w:before="0" w:after="0" w:line="408" w:lineRule="exact"/>
        <w:ind w:left="0" w:right="0" w:firstLine="576"/>
        <w:jc w:val="left"/>
      </w:pPr>
      <w:r>
        <w:rPr/>
        <w:t xml:space="preserve">(b) "Employment level" means the average number of employment positions reported to the employment security department for the months of January through September.</w:t>
      </w:r>
    </w:p>
    <w:p>
      <w:pPr>
        <w:spacing w:before="0" w:after="0" w:line="408" w:lineRule="exact"/>
        <w:ind w:left="0" w:right="0" w:firstLine="576"/>
        <w:jc w:val="left"/>
      </w:pPr>
      <w:r>
        <w:rPr/>
        <w:t xml:space="preserve">(c) "Employment position" means a job with a significant aerospace firm that is reported to the employment security department.</w:t>
      </w:r>
    </w:p>
    <w:p>
      <w:pPr>
        <w:spacing w:before="0" w:after="0" w:line="408" w:lineRule="exact"/>
        <w:ind w:left="0" w:right="0" w:firstLine="576"/>
        <w:jc w:val="left"/>
      </w:pPr>
      <w:r>
        <w:rPr/>
        <w:t xml:space="preserve">(d) "Significant aerospace firm" means a manufacturer that has made a final decision to site a significant commercial airplane manufacturing program in the state under RCW 82.32.850.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aerospace tax incentive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2016.</w:t>
      </w:r>
    </w:p>
    <w:p/>
    <w:p>
      <w:pPr>
        <w:jc w:val="center"/>
      </w:pPr>
      <w:r>
        <w:rPr>
          <w:b/>
        </w:rPr>
        <w:t>--- END ---</w:t>
      </w:r>
    </w:p>
    <w:sectPr>
      <w:pgNumType w:start="1"/>
      <w:footerReference xmlns:r="http://schemas.openxmlformats.org/officeDocument/2006/relationships" r:id="R39eacbb3364c4f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ca0bb5fa8a486a" /><Relationship Type="http://schemas.openxmlformats.org/officeDocument/2006/relationships/footer" Target="/word/footer.xml" Id="R39eacbb3364c4fce" /></Relationships>
</file>