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6ff83394a4263" /></Relationships>
</file>

<file path=word/document.xml><?xml version="1.0" encoding="utf-8"?>
<w:document xmlns:w="http://schemas.openxmlformats.org/wordprocessingml/2006/main">
  <w:body>
    <w:p>
      <w:r>
        <w:t>H-4464.5</w:t>
      </w:r>
    </w:p>
    <w:p>
      <w:pPr>
        <w:jc w:val="center"/>
      </w:pPr>
      <w:r>
        <w:t>_______________________________________________</w:t>
      </w:r>
    </w:p>
    <w:p/>
    <w:p>
      <w:pPr>
        <w:jc w:val="center"/>
      </w:pPr>
      <w:r>
        <w:rPr>
          <w:b/>
        </w:rPr>
        <w:t>HOUSE BILL 2990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Robinson, Farrell, Gregerson, Bergquist, Riccelli, Jinkins, Pollet, Kuderer, Stanford, Ryu, Frame, Tharinger, Moscoso, Cody, Sells, Appleton, Reykdal, Ortiz-Self, Wylie, Hudgins, S. Hunt, Kagi, Van De Wege, Moeller, Tarleton, Senn, Walkinshaw, and Ormsby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fairness of Washington's tax system by narrowing the use tax exemption for extracted fuel; amending RCW 82.12.0263; adding a new section to chapter 82.12 RCW; adding a new section to chapter 82.32 RCW; and adding a new section to chapter 43.135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value of the article used with respect to refinery fuel gas under this chapter is the most recent monthly United States natural gas wellhead price, as published by the federal energy information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sections 1 and 2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3 of this act.</w:t>
      </w:r>
    </w:p>
    <w:p/>
    <w:p>
      <w:pPr>
        <w:jc w:val="center"/>
      </w:pPr>
      <w:r>
        <w:rPr>
          <w:b/>
        </w:rPr>
        <w:t>--- END ---</w:t>
      </w:r>
    </w:p>
    <w:sectPr>
      <w:pgNumType w:start="1"/>
      <w:footerReference xmlns:r="http://schemas.openxmlformats.org/officeDocument/2006/relationships" r:id="R1d908f67f3a84f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0f317eda24819" /><Relationship Type="http://schemas.openxmlformats.org/officeDocument/2006/relationships/footer" Target="/word/footer.xml" Id="R1d908f67f3a84f4e" /></Relationships>
</file>