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9b479e318a4798" /></Relationships>
</file>

<file path=word/document.xml><?xml version="1.0" encoding="utf-8"?>
<w:document xmlns:w="http://schemas.openxmlformats.org/wordprocessingml/2006/main">
  <w:body>
    <w:p>
      <w:r>
        <w:t>H-4489.1</w:t>
      </w:r>
    </w:p>
    <w:p>
      <w:pPr>
        <w:jc w:val="center"/>
      </w:pPr>
      <w:r>
        <w:t>_______________________________________________</w:t>
      </w:r>
    </w:p>
    <w:p/>
    <w:p>
      <w:pPr>
        <w:jc w:val="center"/>
      </w:pPr>
      <w:r>
        <w:rPr>
          <w:b/>
        </w:rPr>
        <w:t>HOUSE BILL 2989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Reykdal, Walsh, and Tarleton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career and technical education materials, supplies, and operating costs; amending RCW 28A.150.260 and 43.88.055; reenacting and amending RCW 28A.150.260; adding a new section to chapter 28A.300 RCW; and providing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2014 c 217 s 206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25.23</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26.57</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22.76</w:t>
      </w:r>
    </w:p>
    <w:p>
      <w:pPr>
        <w:spacing w:before="12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Borders>
              <w:top w:val="single"/>
            </w:tcBorders>
          </w:tcPr>
          <w:p>
            <w:pPr>
              <w:spacing w:before="0" w:after="0" w:line="408" w:lineRule="exact"/>
              <w:ind w:left="0" w:right="0" w:firstLine="0"/>
              <w:jc w:val="left"/>
            </w:pPr>
          </w:p>
        </w:tc>
        <w:tc>
          <w:tcPr>
            <w:tcW w:w="1320" w:type="dxa"/>
            <w:vAlign w:val="top"/>
            <w:tcBorders>
              <w:top w:val="single"/>
            </w:tcBorders>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Borders>
              <w:top w:val="single"/>
            </w:tcBorders>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1.116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Borders>
              <w:bottom w:val="single"/>
            </w:tcBorders>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c>
          <w:tcPr>
            <w:tcW w:w="1160" w:type="dxa"/>
            <w:vAlign w:val="top"/>
            <w:tcBorders>
              <w:bottom w:val="single"/>
            </w:tcBorders>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 </w:t>
      </w:r>
      <w:r>
        <w:rPr>
          <w:u w:val="single"/>
        </w:rPr>
        <w:t xml:space="preserve">at a rate equal to or greater than 1.4 times the general education amounts provided in subsection (8)(b) of this section</w:t>
      </w:r>
      <w:r>
        <w:rPr/>
        <w:t xml:space="preserve">;</w:t>
      </w:r>
    </w:p>
    <w:p>
      <w:pPr>
        <w:spacing w:before="0" w:after="0" w:line="408" w:lineRule="exact"/>
        <w:ind w:left="0" w:right="0" w:firstLine="576"/>
        <w:jc w:val="left"/>
      </w:pPr>
      <w:r>
        <w:rPr/>
        <w:t xml:space="preserve">(b) Preparatory career and technical education courses for students in grades nine through twelve offered in a high school </w:t>
      </w:r>
      <w:r>
        <w:rPr>
          <w:u w:val="single"/>
        </w:rPr>
        <w:t xml:space="preserve">at a rate equal to or greater than 1.4 times the general education amounts provided in subsection (8)(b) of this section</w:t>
      </w:r>
      <w:r>
        <w:rPr/>
        <w:t xml:space="preserve">; and</w:t>
      </w:r>
    </w:p>
    <w:p>
      <w:pPr>
        <w:spacing w:before="0" w:after="0" w:line="408" w:lineRule="exact"/>
        <w:ind w:left="0" w:right="0" w:firstLine="576"/>
        <w:jc w:val="left"/>
      </w:pPr>
      <w:r>
        <w:rPr/>
        <w:t xml:space="preserve">(c) Preparatory career and technical education courses for students in grades eleven and twelve offered through a skill center </w:t>
      </w:r>
      <w:r>
        <w:rPr>
          <w:u w:val="single"/>
        </w:rPr>
        <w:t xml:space="preserve">at a rate equal to or greater than 1.245 times the general education amounts provided in subsection (8)(b) of this section</w:t>
      </w:r>
      <w:r>
        <w:rPr/>
        <w:t xml:space="preserve">.</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1.5156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2015 c 2 s 2 (Initiative Measure No. 1351) and 2014 c 217 s 206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 The distribution formula under this section shall be for allocation purposes only. Except as required for class size reduction funding provided under subsection (4)(f) of this section and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w:t>
      </w:r>
    </w:p>
    <w:p>
      <w:pPr>
        <w:spacing w:before="0" w:after="0" w:line="408" w:lineRule="exact"/>
        <w:ind w:left="0" w:right="0" w:firstLine="0"/>
        <w:jc w:val="right"/>
      </w:pPr>
      <w:r>
        <w:rPr/>
        <w:t xml:space="preserve">class size</w:t>
      </w:r>
    </w:p>
    <w:p>
      <w:pPr>
        <w:spacing w:before="0" w:after="0" w:line="408" w:lineRule="exact"/>
        <w:ind w:left="0" w:right="0" w:firstLine="0"/>
        <w:jc w:val="left"/>
        <w:tabs>
          <w:tab w:val="right" w:leader="dot" w:pos="9936"/>
        </w:tabs>
      </w:pPr>
      <w:r>
        <w:rPr/>
        <w:t xml:space="preserve">Grades K-3</w:t>
      </w:r>
      <w:r>
        <w:tab/>
      </w:r>
      <w:r>
        <w:rPr/>
        <w:t xml:space="preserve">17.00</w:t>
      </w:r>
    </w:p>
    <w:p>
      <w:pPr>
        <w:spacing w:before="0" w:after="0" w:line="408" w:lineRule="exact"/>
        <w:ind w:left="0" w:right="0" w:firstLine="0"/>
        <w:jc w:val="left"/>
        <w:tabs>
          <w:tab w:val="right" w:leader="dot" w:pos="9936"/>
        </w:tabs>
      </w:pPr>
      <w:r>
        <w:rPr/>
        <w:t xml:space="preserve">Grade 4</w:t>
      </w:r>
      <w:r>
        <w:tab/>
      </w:r>
      <w:r>
        <w:rPr/>
        <w:t xml:space="preserve">25.00</w:t>
      </w:r>
    </w:p>
    <w:p>
      <w:pPr>
        <w:spacing w:before="0" w:after="0" w:line="408" w:lineRule="exact"/>
        <w:ind w:left="0" w:right="0" w:firstLine="0"/>
        <w:jc w:val="left"/>
        <w:tabs>
          <w:tab w:val="right" w:leader="dot" w:pos="9936"/>
        </w:tabs>
      </w:pPr>
      <w:r>
        <w:rPr/>
        <w:t xml:space="preserve">Grades 5-6</w:t>
      </w:r>
      <w:r>
        <w:tab/>
      </w:r>
      <w:r>
        <w:rPr/>
        <w:t xml:space="preserve">25.00</w:t>
      </w:r>
    </w:p>
    <w:p>
      <w:pPr>
        <w:spacing w:before="0" w:after="0" w:line="408" w:lineRule="exact"/>
        <w:ind w:left="0" w:right="0" w:firstLine="0"/>
        <w:jc w:val="left"/>
        <w:tabs>
          <w:tab w:val="right" w:leader="dot" w:pos="9936"/>
        </w:tabs>
      </w:pPr>
      <w:r>
        <w:rPr/>
        <w:t xml:space="preserve">Grades 7-8</w:t>
      </w:r>
      <w:r>
        <w:tab/>
      </w:r>
      <w:r>
        <w:rPr/>
        <w:t xml:space="preserve">25.00</w:t>
      </w:r>
    </w:p>
    <w:p>
      <w:pPr>
        <w:spacing w:before="0" w:after="0" w:line="408" w:lineRule="exact"/>
        <w:ind w:left="0" w:right="0" w:firstLine="0"/>
        <w:jc w:val="left"/>
        <w:tabs>
          <w:tab w:val="right" w:leader="dot" w:pos="9936"/>
        </w:tabs>
      </w:pPr>
      <w:r>
        <w:rPr/>
        <w:t xml:space="preserve">Grades 9-12</w:t>
      </w:r>
      <w:r>
        <w:tab/>
      </w:r>
      <w:r>
        <w:rPr/>
        <w:t xml:space="preserve">25.00</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 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spacing w:before="0" w:after="0" w:line="408" w:lineRule="exact"/>
        <w:ind w:left="0" w:right="0" w:firstLine="576"/>
        <w:jc w:val="left"/>
      </w:pPr>
      <w:r>
        <w:rPr/>
        <w:t xml:space="preserve">(c)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19.0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16.0</w:t>
      </w:r>
    </w:p>
    <w:p>
      <w:pPr>
        <w:spacing w:before="120" w:after="0" w:line="408" w:lineRule="exact"/>
        <w:ind w:left="0" w:right="0" w:firstLine="576"/>
        <w:jc w:val="left"/>
      </w:pPr>
      <w:r>
        <w:rPr/>
        <w:t xml:space="preserve">(d) In addition, the omnibus appropriations act shall at a minimum specify a specialty average class size for advanced placement and international baccalaureate courses.</w:t>
      </w:r>
    </w:p>
    <w:p>
      <w:pPr>
        <w:spacing w:before="0" w:after="120" w:line="408" w:lineRule="exact"/>
        <w:ind w:left="0" w:right="0" w:firstLine="576"/>
        <w:jc w:val="left"/>
      </w:pPr>
      <w:r>
        <w:rPr/>
        <w:t xml:space="preserve">(e)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0" w:after="0" w:line="408" w:lineRule="exact"/>
        <w:ind w:left="0" w:right="0" w:firstLine="576"/>
        <w:jc w:val="right"/>
      </w:pPr>
      <w:r>
        <w:rPr/>
        <w:t xml:space="preserve">General education average</w:t>
      </w:r>
    </w:p>
    <w:p>
      <w:pPr>
        <w:spacing w:before="0" w:after="0" w:line="408" w:lineRule="exact"/>
        <w:ind w:left="0" w:right="0" w:firstLine="576"/>
        <w:jc w:val="right"/>
      </w:pPr>
      <w:r>
        <w:rPr/>
        <w:t xml:space="preserve">class size in</w:t>
      </w:r>
    </w:p>
    <w:p>
      <w:pPr>
        <w:spacing w:before="0" w:after="0" w:line="408" w:lineRule="exact"/>
        <w:ind w:left="0" w:right="0" w:firstLine="576"/>
        <w:jc w:val="right"/>
      </w:pPr>
      <w:r>
        <w:rPr/>
        <w:t xml:space="preserve">high poverty</w:t>
      </w:r>
    </w:p>
    <w:p>
      <w:pPr>
        <w:spacing w:before="0" w:after="0" w:line="408" w:lineRule="exact"/>
        <w:ind w:left="0" w:right="0" w:firstLine="0"/>
        <w:jc w:val="left"/>
        <w:tabs>
          <w:tab w:val="right" w:leader="dot" w:pos="9936"/>
        </w:tabs>
      </w:pPr>
      <w:r>
        <w:rPr/>
        <w:t xml:space="preserve">Grades K-3</w:t>
      </w:r>
      <w:r>
        <w:tab/>
      </w:r>
      <w:r>
        <w:rPr/>
        <w:t xml:space="preserve">15.0</w:t>
      </w:r>
    </w:p>
    <w:p>
      <w:pPr>
        <w:spacing w:before="0" w:after="0" w:line="408" w:lineRule="exact"/>
        <w:ind w:left="0" w:right="0" w:firstLine="0"/>
        <w:jc w:val="left"/>
        <w:tabs>
          <w:tab w:val="right" w:leader="dot" w:pos="9936"/>
        </w:tabs>
      </w:pPr>
      <w:r>
        <w:rPr/>
        <w:t xml:space="preserve">Grade 4</w:t>
      </w:r>
      <w:r>
        <w:tab/>
      </w:r>
      <w:r>
        <w:rPr/>
        <w:t xml:space="preserve">22.0</w:t>
      </w:r>
    </w:p>
    <w:p>
      <w:pPr>
        <w:spacing w:before="0" w:after="0" w:line="408" w:lineRule="exact"/>
        <w:ind w:left="0" w:right="0" w:firstLine="0"/>
        <w:jc w:val="left"/>
        <w:tabs>
          <w:tab w:val="right" w:leader="dot" w:pos="9936"/>
        </w:tabs>
      </w:pPr>
      <w:r>
        <w:rPr/>
        <w:t xml:space="preserve">Grades 5-6</w:t>
      </w:r>
      <w:r>
        <w:tab/>
      </w:r>
      <w:r>
        <w:rPr/>
        <w:t xml:space="preserve">23.0</w:t>
      </w:r>
    </w:p>
    <w:p>
      <w:pPr>
        <w:spacing w:before="0" w:after="0" w:line="408" w:lineRule="exact"/>
        <w:ind w:left="0" w:right="0" w:firstLine="0"/>
        <w:jc w:val="left"/>
        <w:tabs>
          <w:tab w:val="right" w:leader="dot" w:pos="9936"/>
        </w:tabs>
      </w:pPr>
      <w:r>
        <w:rPr/>
        <w:t xml:space="preserve">Grades 7-8</w:t>
      </w:r>
      <w:r>
        <w:tab/>
      </w:r>
      <w:r>
        <w:rPr/>
        <w:t xml:space="preserve">23.0</w:t>
      </w:r>
    </w:p>
    <w:p>
      <w:pPr>
        <w:spacing w:before="0" w:after="120" w:line="408" w:lineRule="exact"/>
        <w:ind w:left="0" w:right="0" w:firstLine="0"/>
        <w:jc w:val="left"/>
        <w:tabs>
          <w:tab w:val="right" w:leader="dot" w:pos="9936"/>
        </w:tabs>
      </w:pPr>
      <w:r>
        <w:rPr/>
        <w:t xml:space="preserve">Grades 9-12</w:t>
      </w:r>
      <w:r>
        <w:tab/>
      </w:r>
      <w:r>
        <w:rPr/>
        <w:t xml:space="preserve">23.0</w:t>
      </w:r>
    </w:p>
    <w:p>
      <w:pPr>
        <w:spacing w:before="0" w:after="0" w:line="408" w:lineRule="exact"/>
        <w:ind w:left="0" w:right="0" w:firstLine="576"/>
        <w:jc w:val="left"/>
      </w:pPr>
      <w:r>
        <w:rPr/>
        <w:t xml:space="preserve">(f)(i) Funding for average class sizes in this subsection (4) shall be provided only to the extent of, and proportionate to, the school district's demonstrated actual average class size, up to the funded class sizes.</w:t>
      </w:r>
    </w:p>
    <w:p>
      <w:pPr>
        <w:spacing w:before="0" w:after="0" w:line="408" w:lineRule="exact"/>
        <w:ind w:left="0" w:right="0" w:firstLine="576"/>
        <w:jc w:val="left"/>
      </w:pPr>
      <w:r>
        <w:rPr/>
        <w:t xml:space="preserve">(ii) Districts that demonstrate capital facility needs that prevent them from reducing actual class sizes to funded levels, may use funding in this subsection (4) for school-based personnel who provide direct services to students. Districts that use this funding for purposes other than reducing actual class sizes must annually report the number and dollar value for each type of personnel funded by school and grade level.</w:t>
      </w:r>
    </w:p>
    <w:p>
      <w:pPr>
        <w:spacing w:before="0" w:after="0" w:line="408" w:lineRule="exact"/>
        <w:ind w:left="0" w:right="0" w:firstLine="576"/>
        <w:jc w:val="left"/>
      </w:pPr>
      <w:r>
        <w:rPr/>
        <w:t xml:space="preserve">(iii) The office of the superintendent of public instruction shall develop rules to implement this subsection (4).</w:t>
      </w:r>
    </w:p>
    <w:p>
      <w:pPr>
        <w:spacing w:before="0" w:after="120" w:line="408" w:lineRule="exact"/>
        <w:ind w:left="0" w:right="0" w:firstLine="576"/>
        <w:jc w:val="left"/>
      </w:pPr>
      <w:r>
        <w:rPr/>
        <w:t xml:space="preserve">(5) The minimum allocation for each level of prototypical school shall include allocations necessary for the safe and effective operation of a school, to meet individual student needs, and to ensure all required school functions can be performed by appropriately trained personnel,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1.4</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0.585</w:t>
            </w:r>
          </w:p>
        </w:tc>
        <w:tc>
          <w:tcPr>
            <w:tcW w:w="1160" w:type="dxa"/>
            <w:vAlign w:val="top"/>
          </w:tcPr>
          <w:p>
            <w:pPr>
              <w:spacing w:before="0" w:after="0" w:line="408" w:lineRule="exact"/>
              <w:ind w:left="0" w:right="0" w:firstLine="0"/>
              <w:jc w:val="left"/>
            </w:pPr>
            <w:r>
              <w:rPr>
                <w:rFonts w:ascii="Times New Roman" w:hAnsi="Times New Roman"/>
                <w:sz w:val="20"/>
              </w:rPr>
              <w:t xml:space="preserve">0.888</w:t>
            </w:r>
          </w:p>
        </w:tc>
        <w:tc>
          <w:tcPr>
            <w:tcW w:w="1160" w:type="dxa"/>
            <w:vAlign w:val="top"/>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0.311</w:t>
            </w:r>
          </w:p>
        </w:tc>
        <w:tc>
          <w:tcPr>
            <w:tcW w:w="1160" w:type="dxa"/>
            <w:vAlign w:val="top"/>
          </w:tcPr>
          <w:p>
            <w:pPr>
              <w:spacing w:before="0" w:after="0" w:line="408" w:lineRule="exact"/>
              <w:ind w:left="0" w:right="0" w:firstLine="0"/>
              <w:jc w:val="left"/>
            </w:pPr>
            <w:r>
              <w:rPr>
                <w:rFonts w:ascii="Times New Roman" w:hAnsi="Times New Roman"/>
                <w:sz w:val="20"/>
              </w:rPr>
              <w:t xml:space="preserve">0.088</w:t>
            </w:r>
          </w:p>
        </w:tc>
        <w:tc>
          <w:tcPr>
            <w:tcW w:w="1160" w:type="dxa"/>
            <w:vAlign w:val="top"/>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0.104</w:t>
            </w:r>
          </w:p>
        </w:tc>
        <w:tc>
          <w:tcPr>
            <w:tcW w:w="1160" w:type="dxa"/>
            <w:vAlign w:val="top"/>
          </w:tcPr>
          <w:p>
            <w:pPr>
              <w:spacing w:before="0" w:after="0" w:line="408" w:lineRule="exact"/>
              <w:ind w:left="0" w:right="0" w:firstLine="0"/>
              <w:jc w:val="left"/>
            </w:pPr>
            <w:r>
              <w:rPr>
                <w:rFonts w:ascii="Times New Roman" w:hAnsi="Times New Roman"/>
                <w:sz w:val="20"/>
              </w:rPr>
              <w:t xml:space="preserve">0.024</w:t>
            </w:r>
          </w:p>
        </w:tc>
        <w:tc>
          <w:tcPr>
            <w:tcW w:w="1160" w:type="dxa"/>
            <w:vAlign w:val="top"/>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1.116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3.0</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c>
          <w:tcPr>
            <w:tcW w:w="1160" w:type="dxa"/>
            <w:vAlign w:val="top"/>
          </w:tcPr>
          <w:p>
            <w:pPr>
              <w:spacing w:before="0" w:after="0" w:line="408" w:lineRule="exact"/>
              <w:ind w:left="0" w:right="0" w:firstLine="0"/>
              <w:jc w:val="left"/>
            </w:pPr>
            <w:r>
              <w:rPr>
                <w:rFonts w:ascii="Times New Roman" w:hAnsi="Times New Roman"/>
                <w:sz w:val="20"/>
              </w:rPr>
              <w:t xml:space="preserve">3.5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1.7</w:t>
            </w:r>
          </w:p>
        </w:tc>
        <w:tc>
          <w:tcPr>
            <w:tcW w:w="1160" w:type="dxa"/>
            <w:vAlign w:val="top"/>
          </w:tcPr>
          <w:p>
            <w:pPr>
              <w:spacing w:before="0" w:after="0" w:line="408" w:lineRule="exact"/>
              <w:ind w:left="0" w:right="0" w:firstLine="0"/>
              <w:jc w:val="left"/>
            </w:pPr>
            <w:r>
              <w:rPr>
                <w:rFonts w:ascii="Times New Roman" w:hAnsi="Times New Roman"/>
                <w:sz w:val="20"/>
              </w:rPr>
              <w:t xml:space="preserve">2.0</w:t>
            </w:r>
          </w:p>
        </w:tc>
        <w:tc>
          <w:tcPr>
            <w:tcW w:w="1160" w:type="dxa"/>
            <w:vAlign w:val="top"/>
          </w:tcPr>
          <w:p>
            <w:pPr>
              <w:spacing w:before="0" w:after="0" w:line="408" w:lineRule="exact"/>
              <w:ind w:left="0" w:right="0" w:firstLine="0"/>
              <w:jc w:val="left"/>
            </w:pPr>
            <w:r>
              <w:rPr>
                <w:rFonts w:ascii="Times New Roman" w:hAnsi="Times New Roman"/>
                <w:sz w:val="20"/>
              </w:rPr>
              <w:t xml:space="preserve">3.0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w:t>
            </w:r>
          </w:p>
        </w:tc>
        <w:tc>
          <w:tcPr>
            <w:tcW w:w="1160" w:type="dxa"/>
            <w:vAlign w:val="top"/>
          </w:tcPr>
          <w:p>
            <w:pPr>
              <w:spacing w:before="0" w:after="0" w:line="408" w:lineRule="exact"/>
              <w:ind w:left="0" w:right="0" w:firstLine="0"/>
              <w:jc w:val="left"/>
            </w:pPr>
            <w:r>
              <w:rPr>
                <w:rFonts w:ascii="Times New Roman" w:hAnsi="Times New Roman"/>
                <w:sz w:val="20"/>
              </w:rPr>
              <w:t xml:space="preserve">0.7</w:t>
            </w:r>
          </w:p>
        </w:tc>
        <w:tc>
          <w:tcPr>
            <w:tcW w:w="1160" w:type="dxa"/>
            <w:vAlign w:val="top"/>
          </w:tcPr>
          <w:p>
            <w:pPr>
              <w:spacing w:before="0" w:after="0" w:line="408" w:lineRule="exact"/>
              <w:ind w:left="0" w:right="0" w:firstLine="0"/>
              <w:jc w:val="left"/>
            </w:pPr>
            <w:r>
              <w:rPr>
                <w:rFonts w:ascii="Times New Roman" w:hAnsi="Times New Roman"/>
                <w:sz w:val="20"/>
              </w:rPr>
              <w:t xml:space="preserve">1.3</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r>
              <w:rPr>
                <w:rFonts w:ascii="Times New Roman" w:hAnsi="Times New Roman"/>
                <w:sz w:val="20"/>
              </w:rPr>
              <w:t xml:space="preserve">1.0</w:t>
            </w:r>
          </w:p>
        </w:tc>
        <w:tc>
          <w:tcPr>
            <w:tcW w:w="1160" w:type="dxa"/>
            <w:vAlign w:val="top"/>
          </w:tcPr>
          <w:p>
            <w:pPr>
              <w:spacing w:before="0" w:after="0" w:line="408" w:lineRule="exact"/>
              <w:ind w:left="0" w:right="0" w:firstLine="0"/>
              <w:jc w:val="left"/>
            </w:pPr>
            <w:r>
              <w:rPr>
                <w:rFonts w:ascii="Times New Roman" w:hAnsi="Times New Roman"/>
                <w:sz w:val="20"/>
              </w:rPr>
              <w:t xml:space="preserve">1.0</w:t>
            </w:r>
          </w:p>
        </w:tc>
      </w:tr>
    </w:tbl>
    <w:p>
      <w:pPr>
        <w:spacing w:before="120" w:after="0" w:line="408" w:lineRule="exact"/>
        <w:ind w:left="0" w:right="0" w:firstLine="576"/>
        <w:jc w:val="left"/>
      </w:pPr>
      <w:r>
        <w:rPr/>
        <w:t xml:space="preserve">(6)(a) The minimum staffing allocation for each school district to provide district-wide support services shall be allocated per one thousand annual average full-time equivalent students in grades K-12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2.8</w:t>
      </w:r>
    </w:p>
    <w:p>
      <w:pPr>
        <w:spacing w:before="0" w:after="0" w:line="408" w:lineRule="exact"/>
        <w:ind w:left="0" w:right="0" w:firstLine="0"/>
        <w:jc w:val="left"/>
        <w:tabs>
          <w:tab w:val="right" w:leader="dot" w:pos="9936"/>
        </w:tabs>
      </w:pPr>
      <w:r>
        <w:rPr/>
        <w:t xml:space="preserve">Facilities, maintenance, and grounds</w:t>
      </w:r>
      <w:r>
        <w:tab/>
      </w:r>
      <w:r>
        <w:rPr/>
        <w:t xml:space="preserve">4.0</w:t>
      </w:r>
    </w:p>
    <w:p>
      <w:pPr>
        <w:spacing w:before="0" w:after="0" w:line="408" w:lineRule="exact"/>
        <w:ind w:left="0" w:right="0" w:firstLine="0"/>
        <w:jc w:val="left"/>
        <w:tabs>
          <w:tab w:val="right" w:leader="dot" w:pos="9936"/>
        </w:tabs>
      </w:pPr>
      <w:r>
        <w:rPr/>
        <w:t xml:space="preserve">Warehouse, laborers, and mechanics</w:t>
      </w:r>
      <w:r>
        <w:tab/>
      </w:r>
      <w:r>
        <w:rPr/>
        <w:t xml:space="preserve">1.9</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(b)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$54.43</w:t>
      </w:r>
    </w:p>
    <w:p>
      <w:pPr>
        <w:spacing w:before="0" w:after="0" w:line="408" w:lineRule="exact"/>
        <w:ind w:left="0" w:right="0" w:firstLine="0"/>
        <w:jc w:val="left"/>
        <w:tabs>
          <w:tab w:val="right" w:leader="dot" w:pos="9936"/>
        </w:tabs>
      </w:pPr>
      <w:r>
        <w:rPr/>
        <w:t xml:space="preserve">Utilities and insurance</w:t>
      </w:r>
      <w:r>
        <w:tab/>
      </w:r>
      <w:r>
        <w:rPr/>
        <w:t xml:space="preserve">$147.90</w:t>
      </w:r>
    </w:p>
    <w:p>
      <w:pPr>
        <w:spacing w:before="0" w:after="0" w:line="408" w:lineRule="exact"/>
        <w:ind w:left="0" w:right="0" w:firstLine="0"/>
        <w:jc w:val="left"/>
        <w:tabs>
          <w:tab w:val="right" w:leader="dot" w:pos="9936"/>
        </w:tabs>
      </w:pPr>
      <w:r>
        <w:rPr/>
        <w:t xml:space="preserve">Curriculum and textbooks</w:t>
      </w:r>
      <w:r>
        <w:tab/>
      </w:r>
      <w:r>
        <w:rPr/>
        <w:t xml:space="preserve">$58.44</w:t>
      </w:r>
    </w:p>
    <w:p>
      <w:pPr>
        <w:spacing w:before="0" w:after="0" w:line="408" w:lineRule="exact"/>
        <w:ind w:left="0" w:right="0" w:firstLine="0"/>
        <w:jc w:val="left"/>
        <w:tabs>
          <w:tab w:val="right" w:leader="dot" w:pos="9936"/>
        </w:tabs>
      </w:pPr>
      <w:r>
        <w:rPr/>
        <w:t xml:space="preserve">Other supplies and library materials</w:t>
      </w:r>
      <w:r>
        <w:tab/>
      </w:r>
      <w:r>
        <w:rPr/>
        <w:t xml:space="preserve">$124.07</w:t>
      </w:r>
    </w:p>
    <w:p>
      <w:pPr>
        <w:spacing w:before="0" w:after="0" w:line="408" w:lineRule="exact"/>
        <w:ind w:left="0" w:right="0" w:firstLine="0"/>
        <w:jc w:val="left"/>
      </w:pPr>
      <w:r>
        <w:rPr/>
        <w:t xml:space="preserve">Instructional professional development for certified and</w:t>
      </w:r>
    </w:p>
    <w:p>
      <w:pPr>
        <w:spacing w:before="0" w:after="0" w:line="408" w:lineRule="exact"/>
        <w:ind w:left="0" w:right="0" w:firstLine="0"/>
        <w:jc w:val="left"/>
        <w:tabs>
          <w:tab w:val="right" w:leader="dot" w:pos="9936"/>
        </w:tabs>
      </w:pPr>
      <w:r>
        <w:rPr/>
        <w:t xml:space="preserve">classified staff</w:t>
      </w:r>
      <w:r>
        <w:tab/>
      </w:r>
      <w:r>
        <w:rPr/>
        <w:t xml:space="preserve">$9.04</w:t>
      </w:r>
    </w:p>
    <w:p>
      <w:pPr>
        <w:spacing w:before="0" w:after="0" w:line="408" w:lineRule="exact"/>
        <w:ind w:left="0" w:right="0" w:firstLine="0"/>
        <w:jc w:val="left"/>
        <w:tabs>
          <w:tab w:val="right" w:leader="dot" w:pos="9936"/>
        </w:tabs>
      </w:pPr>
      <w:r>
        <w:rPr/>
        <w:t xml:space="preserve">Facilities maintenance</w:t>
      </w:r>
      <w:r>
        <w:tab/>
      </w:r>
      <w:r>
        <w:rPr/>
        <w:t xml:space="preserve">$73.27</w:t>
      </w:r>
    </w:p>
    <w:p>
      <w:pPr>
        <w:spacing w:before="0" w:after="0" w:line="408" w:lineRule="exact"/>
        <w:ind w:left="0" w:right="0" w:firstLine="0"/>
        <w:jc w:val="left"/>
        <w:tabs>
          <w:tab w:val="right" w:leader="dot" w:pos="9936"/>
        </w:tabs>
      </w:pPr>
      <w:r>
        <w:rPr/>
        <w:t xml:space="preserve">Security and central office</w:t>
      </w:r>
      <w:r>
        <w:tab/>
      </w:r>
      <w:r>
        <w:rPr/>
        <w:t xml:space="preserve">$50.76</w:t>
      </w:r>
    </w:p>
    <w:p>
      <w:pPr>
        <w:spacing w:before="120" w:after="0" w:line="408" w:lineRule="exact"/>
        <w:ind w:left="0" w:right="0" w:firstLine="576"/>
        <w:jc w:val="left"/>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$113.80</w:t>
      </w:r>
    </w:p>
    <w:p>
      <w:pPr>
        <w:spacing w:before="0" w:after="0" w:line="408" w:lineRule="exact"/>
        <w:ind w:left="0" w:right="0" w:firstLine="0"/>
        <w:jc w:val="left"/>
        <w:tabs>
          <w:tab w:val="right" w:leader="dot" w:pos="9936"/>
        </w:tabs>
      </w:pPr>
      <w:r>
        <w:rPr/>
        <w:t xml:space="preserve">Utilities and insurance</w:t>
      </w:r>
      <w:r>
        <w:tab/>
      </w:r>
      <w:r>
        <w:rPr/>
        <w:t xml:space="preserve">$309.21</w:t>
      </w:r>
    </w:p>
    <w:p>
      <w:pPr>
        <w:spacing w:before="0" w:after="0" w:line="408" w:lineRule="exact"/>
        <w:ind w:left="0" w:right="0" w:firstLine="0"/>
        <w:jc w:val="left"/>
        <w:tabs>
          <w:tab w:val="right" w:leader="dot" w:pos="9936"/>
        </w:tabs>
      </w:pPr>
      <w:r>
        <w:rPr/>
        <w:t xml:space="preserve">Curriculum and textbooks</w:t>
      </w:r>
      <w:r>
        <w:tab/>
      </w:r>
      <w:r>
        <w:rPr/>
        <w:t xml:space="preserve">$122.17</w:t>
      </w:r>
    </w:p>
    <w:p>
      <w:pPr>
        <w:spacing w:before="0" w:after="0" w:line="408" w:lineRule="exact"/>
        <w:ind w:left="0" w:right="0" w:firstLine="0"/>
        <w:jc w:val="left"/>
        <w:tabs>
          <w:tab w:val="right" w:leader="dot" w:pos="9936"/>
        </w:tabs>
      </w:pPr>
      <w:r>
        <w:rPr/>
        <w:t xml:space="preserve">Other supplies and library materials</w:t>
      </w:r>
      <w:r>
        <w:tab/>
      </w:r>
      <w:r>
        <w:rPr/>
        <w:t xml:space="preserve">$259.39</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$18.89</w:t>
      </w:r>
    </w:p>
    <w:p>
      <w:pPr>
        <w:spacing w:before="0" w:after="0" w:line="408" w:lineRule="exact"/>
        <w:ind w:left="0" w:right="0" w:firstLine="0"/>
        <w:jc w:val="left"/>
        <w:tabs>
          <w:tab w:val="right" w:leader="dot" w:pos="9936"/>
        </w:tabs>
      </w:pPr>
      <w:r>
        <w:rPr/>
        <w:t xml:space="preserve">Facilities maintenance</w:t>
      </w:r>
      <w:r>
        <w:tab/>
      </w:r>
      <w:r>
        <w:rPr/>
        <w:t xml:space="preserve">$153.18</w:t>
      </w:r>
    </w:p>
    <w:p>
      <w:pPr>
        <w:spacing w:before="0" w:after="0" w:line="408" w:lineRule="exact"/>
        <w:ind w:left="0" w:right="0" w:firstLine="0"/>
        <w:jc w:val="left"/>
        <w:tabs>
          <w:tab w:val="right" w:leader="dot" w:pos="9936"/>
        </w:tabs>
      </w:pPr>
      <w:r>
        <w:rPr/>
        <w:t xml:space="preserve">Security and central office administration</w:t>
      </w:r>
      <w:r>
        <w:tab/>
      </w:r>
      <w:r>
        <w:rPr/>
        <w:t xml:space="preserve">$106.12</w:t>
      </w:r>
    </w:p>
    <w:p>
      <w:pPr>
        <w:spacing w:before="120" w:after="0" w:line="408" w:lineRule="exact"/>
        <w:ind w:left="0" w:right="0" w:firstLine="576"/>
        <w:jc w:val="left"/>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 </w:t>
      </w:r>
      <w:r>
        <w:rPr>
          <w:u w:val="single"/>
        </w:rPr>
        <w:t xml:space="preserve">at a rate equal to or greater than 1.4 times the general education amounts provided in subsection (8)(b) of this section</w:t>
      </w:r>
      <w:r>
        <w:rPr/>
        <w:t xml:space="preserve">;</w:t>
      </w:r>
    </w:p>
    <w:p>
      <w:pPr>
        <w:spacing w:before="0" w:after="0" w:line="408" w:lineRule="exact"/>
        <w:ind w:left="0" w:right="0" w:firstLine="576"/>
        <w:jc w:val="left"/>
      </w:pPr>
      <w:r>
        <w:rPr/>
        <w:t xml:space="preserve">(b) Preparatory career and technical education courses for students in grades nine through twelve offered in a high school </w:t>
      </w:r>
      <w:r>
        <w:rPr>
          <w:u w:val="single"/>
        </w:rPr>
        <w:t xml:space="preserve">at a rate equal to or greater than 1.4 times the general education amounts provided in subsection (8)(b) of this section</w:t>
      </w:r>
      <w:r>
        <w:rPr/>
        <w:t xml:space="preserve">; and</w:t>
      </w:r>
    </w:p>
    <w:p>
      <w:pPr>
        <w:spacing w:before="0" w:after="0" w:line="408" w:lineRule="exact"/>
        <w:ind w:left="0" w:right="0" w:firstLine="576"/>
        <w:jc w:val="left"/>
      </w:pPr>
      <w:r>
        <w:rPr/>
        <w:t xml:space="preserve">(c) Preparatory career and technical education courses for students in grades eleven and twelve offered through a skill center </w:t>
      </w:r>
      <w:r>
        <w:rPr>
          <w:u w:val="single"/>
        </w:rPr>
        <w:t xml:space="preserve">at a rate equal to or greater than 1.245 times the general education amounts provided in subsection (8)(b) of this section</w:t>
      </w:r>
      <w:r>
        <w:rPr/>
        <w:t xml:space="preserve">.</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1.5156 hours per week in extra instruction with a class size of fifteen learning assistance program students per teacher.</w:t>
      </w:r>
    </w:p>
    <w:p>
      <w:pPr>
        <w:spacing w:before="0" w:after="0" w:line="408" w:lineRule="exact"/>
        <w:ind w:left="0" w:right="0" w:firstLine="576"/>
        <w:jc w:val="left"/>
      </w:pPr>
      <w:r>
        <w:rPr/>
        <w:t xml:space="preserve">(b)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two and three hundred fourteen one- thousandths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and (b),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basic education benefit account is created in the state treasury. All receipts accrued in accordance with the August 13, 2015, order in the </w:t>
      </w:r>
      <w:r>
        <w:rPr>
          <w:i/>
        </w:rPr>
        <w:t xml:space="preserve">McCleary v. State</w:t>
      </w:r>
      <w:r>
        <w:rPr/>
        <w:t xml:space="preserve">, supreme court no. 84362-7 must be deposited in the account. Moneys in the account may be spent only after appropriation. Expenditures from the account must be used exclusively for the benefit of basic education as defined in statute. For the 2016-17 school year, the funds must be used for the materials, supplies, and operating costs of the career and technical education program in accordance with RCW 28A.150.260.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2012 1st sp.s. c 8 s 1 are each amended to read as follows:</w:t>
      </w:r>
    </w:p>
    <w:p>
      <w:pPr>
        <w:spacing w:before="0" w:after="0" w:line="408" w:lineRule="exact"/>
        <w:ind w:left="0" w:right="0" w:firstLine="576"/>
        <w:jc w:val="left"/>
      </w:pPr>
      <w:r>
        <w:rPr/>
        <w:t xml:space="preserve">(1) The legislature must adopt a four-year balanced budget as follows:</w:t>
      </w:r>
    </w:p>
    <w:p>
      <w:pPr>
        <w:spacing w:before="0" w:after="0" w:line="408" w:lineRule="exact"/>
        <w:ind w:left="0" w:right="0" w:firstLine="576"/>
        <w:jc w:val="left"/>
      </w:pPr>
      <w:r>
        <w:rPr/>
        <w:t xml:space="preserve">(a) Beginning in the 2013-2015 fiscal biennium, the legislature shall enact a balanced omnibus operating appropriations bill that leaves, in total, a positive ending fund balance in the general fund and related funds.</w:t>
      </w:r>
    </w:p>
    <w:p>
      <w:pPr>
        <w:spacing w:before="0" w:after="0" w:line="408" w:lineRule="exact"/>
        <w:ind w:left="0" w:right="0" w:firstLine="576"/>
        <w:jc w:val="left"/>
      </w:pPr>
      <w:r>
        <w:rPr/>
        <w:t xml:space="preserve">(b) Beginning in the 2013-2015 fiscal biennium, the projected maintenance level of the omnibus appropriations bill enacted by the legislature shall not exceed the available fiscal resources for the next ensuing fiscal biennium.</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(b) "Projected maintenance level" means estimated appropriations necessary to maintain the continuing costs of program and service levels either funded in that appropriations bill or mandated by other state or federal law, and the amount of any general fund moneys projected to be transferred to the budget stabilization account pursuant to Article VII, section 12 of the state Constitution, but does not include in the 2013-2015 and 2015-2017 fiscal biennia the costs related to the enhanced funding under the new definition of basic education as established in chapter 548, Laws of 2009, and affirmed by the decision in </w:t>
      </w:r>
      <w:r>
        <w:rPr>
          <w:i/>
        </w:rPr>
        <w:t xml:space="preserve">Mathew McCleary et al., v. The State of Washington</w:t>
      </w:r>
      <w:r>
        <w:rPr/>
        <w:t xml:space="preserve">, 173 Wn.2d 477, 269 P.3d 227, (2012), from which the short-term exclusion of these obligations is solely for the purposes of calculating this estimate and does not in any way indicate an intent to avoid full funding of these obligations;</w:t>
      </w:r>
    </w:p>
    <w:p>
      <w:pPr>
        <w:spacing w:before="0" w:after="0" w:line="408" w:lineRule="exact"/>
        <w:ind w:left="0" w:right="0" w:firstLine="576"/>
        <w:jc w:val="left"/>
      </w:pPr>
      <w:r>
        <w:rPr/>
        <w:t xml:space="preserve">(c) "Related funds," as used in this section, means the Washington opportunity pathways account </w:t>
      </w:r>
      <w:r>
        <w:t>((</w:t>
      </w:r>
      <w:r>
        <w:rPr>
          <w:strike/>
        </w:rPr>
        <w:t xml:space="preserve">and</w:t>
      </w:r>
      <w:r>
        <w:t>))</w:t>
      </w:r>
      <w:r>
        <w:rPr>
          <w:u w:val="single"/>
        </w:rPr>
        <w:t xml:space="preserve">,</w:t>
      </w:r>
      <w:r>
        <w:rPr/>
        <w:t xml:space="preserve"> the education legacy trust account</w:t>
      </w:r>
      <w:r>
        <w:rPr>
          <w:u w:val="single"/>
        </w:rPr>
        <w:t xml:space="preserve">, and the basic education benefit account</w:t>
      </w:r>
      <w:r>
        <w:rPr/>
        <w:t xml:space="preserve">.</w:t>
      </w:r>
    </w:p>
    <w:p>
      <w:pPr>
        <w:spacing w:before="0" w:after="0" w:line="408" w:lineRule="exact"/>
        <w:ind w:left="0" w:right="0" w:firstLine="576"/>
        <w:jc w:val="left"/>
      </w:pPr>
      <w:r>
        <w:rPr/>
        <w:t xml:space="preserve">(3) Subsection (1)(a) and (b) of this section does not apply to an appropriations bill that makes net reductions in general fund and related funds appropriations and is enacted between July 1st and February 15th of any fiscal year.</w:t>
      </w:r>
    </w:p>
    <w:p>
      <w:pPr>
        <w:spacing w:before="0" w:after="0" w:line="408" w:lineRule="exact"/>
        <w:ind w:left="0" w:right="0" w:firstLine="576"/>
        <w:jc w:val="left"/>
      </w:pPr>
      <w:r>
        <w:rPr/>
        <w:t xml:space="preserve">(4) Subsection (1)(b) of this section does not apply in a fiscal biennium in which money is appropriated from the budget stabilization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September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w:t>
      </w:r>
      <w:r>
        <w:rPr/>
        <w:t xml:space="preserve">this act takes effect September 1, 2022.</w:t>
      </w:r>
    </w:p>
    <w:p/>
    <w:p>
      <w:pPr>
        <w:jc w:val="center"/>
      </w:pPr>
      <w:r>
        <w:rPr>
          <w:b/>
        </w:rPr>
        <w:t>--- END ---</w:t>
      </w:r>
    </w:p>
    <w:sectPr>
      <w:pgNumType w:start="1"/>
      <w:footerReference xmlns:r="http://schemas.openxmlformats.org/officeDocument/2006/relationships" r:id="Rbc3391d45ab94d5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068460388f4da5" /><Relationship Type="http://schemas.openxmlformats.org/officeDocument/2006/relationships/footer" Target="/word/footer.xml" Id="Rbc3391d45ab94d50" /></Relationships>
</file>