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4d75d41284f42" /></Relationships>
</file>

<file path=word/document.xml><?xml version="1.0" encoding="utf-8"?>
<w:document xmlns:w="http://schemas.openxmlformats.org/wordprocessingml/2006/main">
  <w:body>
    <w:p>
      <w:r>
        <w:t>H-4387.2</w:t>
      </w:r>
    </w:p>
    <w:p>
      <w:pPr>
        <w:jc w:val="center"/>
      </w:pPr>
      <w:r>
        <w:t>_______________________________________________</w:t>
      </w:r>
    </w:p>
    <w:p/>
    <w:p>
      <w:pPr>
        <w:jc w:val="center"/>
      </w:pPr>
      <w:r>
        <w:rPr>
          <w:b/>
        </w:rPr>
        <w:t>HOUSE BILL 2982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and Fey</w:t>
      </w:r>
    </w:p>
    <w:p/>
    <w:p>
      <w:r>
        <w:rPr>
          <w:t xml:space="preserve">Read first time 02/12/16.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manufacturing machinery and equipment exemption for methanol manufactured in part from liquid natural gas or compressed natural gas; and amending RCW 82.08.02565 and 82.12.02565.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0" w:after="0" w:line="408" w:lineRule="exact"/>
        <w:ind w:left="0" w:right="0" w:firstLine="576"/>
        <w:jc w:val="left"/>
      </w:pPr>
      <w:r>
        <w:rPr>
          <w:u w:val="single"/>
        </w:rPr>
        <w:t xml:space="preserve">(5) The exemption in this section does not apply to the sale of machinery and equipment used to produce methanol manufactured in part from liquid natural gas or compressed natural gas.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0" w:after="0" w:line="408" w:lineRule="exact"/>
        <w:ind w:left="0" w:right="0" w:firstLine="576"/>
        <w:jc w:val="left"/>
      </w:pPr>
      <w:r>
        <w:rPr>
          <w:u w:val="single"/>
        </w:rPr>
        <w:t xml:space="preserve">(5) The exemption in this section does not apply to machinery and equipment used to produce methanol manufactured in part from liquid natural gas or compressed natural gas.</w:t>
      </w:r>
    </w:p>
    <w:p/>
    <w:p>
      <w:pPr>
        <w:jc w:val="center"/>
      </w:pPr>
      <w:r>
        <w:rPr>
          <w:b/>
        </w:rPr>
        <w:t>--- END ---</w:t>
      </w:r>
    </w:p>
    <w:sectPr>
      <w:pgNumType w:start="1"/>
      <w:footerReference xmlns:r="http://schemas.openxmlformats.org/officeDocument/2006/relationships" r:id="R7449ea33f7fc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af89a3f0294f9f" /><Relationship Type="http://schemas.openxmlformats.org/officeDocument/2006/relationships/footer" Target="/word/footer.xml" Id="R7449ea33f7fc4144" /></Relationships>
</file>