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01711ac844109" /></Relationships>
</file>

<file path=word/document.xml><?xml version="1.0" encoding="utf-8"?>
<w:document xmlns:w="http://schemas.openxmlformats.org/wordprocessingml/2006/main">
  <w:body>
    <w:p>
      <w:r>
        <w:t>H-4142.3</w:t>
      </w:r>
    </w:p>
    <w:p>
      <w:pPr>
        <w:jc w:val="center"/>
      </w:pPr>
      <w:r>
        <w:t>_______________________________________________</w:t>
      </w:r>
    </w:p>
    <w:p/>
    <w:p>
      <w:pPr>
        <w:jc w:val="center"/>
      </w:pPr>
      <w:r>
        <w:rPr>
          <w:b/>
        </w:rPr>
        <w:t>HOUSE BILL 2971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and Nealey</w:t>
      </w:r>
    </w:p>
    <w:p/>
    <w:p>
      <w:r>
        <w:rPr>
          <w:t xml:space="preserve">Read first time 02/04/16.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and amending RCW 64.06.080, 82.46.015, and 82.46.037.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080</w:t>
      </w:r>
      <w:r>
        <w:rPr/>
        <w:t xml:space="preserve"> and 2015 2nd sp.s. c 10 s 4 are each amended to read as follows:</w:t>
      </w:r>
    </w:p>
    <w:p>
      <w:pPr>
        <w:spacing w:before="0" w:after="0" w:line="408" w:lineRule="exact"/>
        <w:ind w:left="0" w:right="0" w:firstLine="576"/>
        <w:jc w:val="left"/>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 </w:t>
      </w:r>
      <w:r>
        <w:rPr>
          <w:u w:val="single"/>
        </w:rPr>
        <w:t xml:space="preserve">both a summary of, and either an internet link to or the actual language of,</w:t>
      </w:r>
      <w:r>
        <w:rPr/>
        <w:t xml:space="preserve"> the ordinance, resolution, or policy is posted electronically in accordance with RCW 43.110.030(2)(e).</w:t>
      </w:r>
    </w:p>
    <w:p>
      <w:pPr>
        <w:spacing w:before="0" w:after="0" w:line="408" w:lineRule="exact"/>
        <w:ind w:left="0" w:right="0" w:firstLine="576"/>
        <w:jc w:val="left"/>
      </w:pPr>
      <w:r>
        <w:rPr/>
        <w:t xml:space="preserve">(2) If, prior to September 26, 2015, a city or county adopted an ordinance, resolution, or policy that imposes a requirement on landlords or sellers of real property, or their agents, to provide information to a buyer or tenant pertaining to the subject property or the surrounding area, the city or county must cause </w:t>
      </w:r>
      <w:r>
        <w:rPr>
          <w:u w:val="single"/>
        </w:rPr>
        <w:t xml:space="preserve">a summary of, and an internet link to or the actual language of,</w:t>
      </w:r>
      <w:r>
        <w:rPr/>
        <w:t xml:space="preserve"> the ordinance, resolution, or policy to be posted electronically in accordance with RCW 43.110.030(2)(e) within ninety days of September 26, 2015, or the requirement </w:t>
      </w:r>
      <w:r>
        <w:t>((</w:t>
      </w:r>
      <w:r>
        <w:rPr>
          <w:strike/>
        </w:rPr>
        <w:t xml:space="preserve">shall</w:t>
      </w:r>
      <w:r>
        <w:t>))</w:t>
      </w:r>
      <w:r>
        <w:rPr/>
        <w:t xml:space="preserve"> </w:t>
      </w:r>
      <w:r>
        <w:rPr>
          <w:u w:val="single"/>
        </w:rPr>
        <w:t xml:space="preserve">must</w:t>
      </w:r>
      <w:r>
        <w:rPr/>
        <w:t xml:space="preserve"> thereafter cease to be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2015 2nd sp.s. c 10 s 2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September 26, 2015</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requirement on the listing</w:t>
      </w:r>
      <w:r>
        <w:t>((</w:t>
      </w:r>
      <w:r>
        <w:rPr>
          <w:strike/>
        </w:rPr>
        <w:t xml:space="preserve">, leasing,</w:t>
      </w:r>
      <w:r>
        <w:t>))</w:t>
      </w:r>
      <w:r>
        <w:rPr/>
        <w:t xml:space="preserve"> or sale of real property</w:t>
      </w:r>
      <w:r>
        <w:t>((</w:t>
      </w:r>
      <w:r>
        <w:rPr>
          <w:strike/>
        </w:rPr>
        <w:t xml:space="preserve">, unless the requirement is</w:t>
      </w:r>
      <w:r>
        <w:t>))</w:t>
      </w:r>
      <w:r>
        <w:rPr>
          <w:u w:val="single"/>
        </w:rPr>
        <w:t xml:space="preserve">; or</w:t>
      </w:r>
    </w:p>
    <w:p>
      <w:pPr>
        <w:spacing w:before="0" w:after="0" w:line="408" w:lineRule="exact"/>
        <w:ind w:left="0" w:right="0" w:firstLine="576"/>
        <w:jc w:val="left"/>
      </w:pPr>
      <w:r>
        <w:rPr>
          <w:u w:val="single"/>
        </w:rPr>
        <w:t xml:space="preserve">(B) Any requirement on landlords to perform or provide physical improvements or modifications to real property or fixtures, except if necessary to address an immediate threat to public health or safety; or</w:t>
      </w:r>
    </w:p>
    <w:p>
      <w:pPr>
        <w:spacing w:before="0" w:after="0" w:line="408" w:lineRule="exact"/>
        <w:ind w:left="0" w:right="0" w:firstLine="576"/>
        <w:jc w:val="left"/>
      </w:pPr>
      <w:r>
        <w:rPr>
          <w:u w:val="single"/>
        </w:rPr>
        <w:t xml:space="preserve">(ii) If a city or county has adopted a local requirement under (b)(i)(A) or (B) of this subsection, the requirement must be</w:t>
      </w:r>
      <w:r>
        <w:rPr/>
        <w:t xml:space="preserve"> either specifically authorized by state or federal law or </w:t>
      </w:r>
      <w:r>
        <w:t>((</w:t>
      </w:r>
      <w:r>
        <w:rPr>
          <w:strike/>
        </w:rPr>
        <w:t xml:space="preserve">is</w:t>
      </w:r>
      <w:r>
        <w:t>))</w:t>
      </w:r>
      <w:r>
        <w:rPr/>
        <w:t xml:space="preserve"> </w:t>
      </w:r>
      <w:r>
        <w:rPr>
          <w:u w:val="single"/>
        </w:rPr>
        <w:t xml:space="preserve">must be</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2015 2nd sp.s. c 10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or</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September 26, 2015</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requirement on the listing</w:t>
      </w:r>
      <w:r>
        <w:t>((</w:t>
      </w:r>
      <w:r>
        <w:rPr>
          <w:strike/>
        </w:rPr>
        <w:t xml:space="preserve">, leasing,</w:t>
      </w:r>
      <w:r>
        <w:t>))</w:t>
      </w:r>
      <w:r>
        <w:rPr/>
        <w:t xml:space="preserve"> or sale of real property</w:t>
      </w:r>
      <w:r>
        <w:t>((</w:t>
      </w:r>
      <w:r>
        <w:rPr>
          <w:strike/>
        </w:rPr>
        <w:t xml:space="preserve">, unless the requirement is</w:t>
      </w:r>
      <w:r>
        <w:t>))</w:t>
      </w:r>
      <w:r>
        <w:rPr>
          <w:u w:val="single"/>
        </w:rPr>
        <w:t xml:space="preserve">; or</w:t>
      </w:r>
    </w:p>
    <w:p>
      <w:pPr>
        <w:spacing w:before="0" w:after="0" w:line="408" w:lineRule="exact"/>
        <w:ind w:left="0" w:right="0" w:firstLine="576"/>
        <w:jc w:val="left"/>
      </w:pPr>
      <w:r>
        <w:rPr>
          <w:u w:val="single"/>
        </w:rPr>
        <w:t xml:space="preserve">(B) Any requirement on landlords to perform or provide physical improvements or modifications to real property or fixtures, except if necessary to address an immediate threat to public health or safety; or</w:t>
      </w:r>
    </w:p>
    <w:p>
      <w:pPr>
        <w:spacing w:before="0" w:after="0" w:line="408" w:lineRule="exact"/>
        <w:ind w:left="0" w:right="0" w:firstLine="576"/>
        <w:jc w:val="left"/>
      </w:pPr>
      <w:r>
        <w:rPr>
          <w:u w:val="single"/>
        </w:rPr>
        <w:t xml:space="preserve">(ii) If a city or county has adopted a local requirement under (b)(i)(A) or (B) of this subsection, the requirement must be</w:t>
      </w:r>
      <w:r>
        <w:rPr/>
        <w:t xml:space="preserve"> either specifically authorized by state or federal law or </w:t>
      </w:r>
      <w:r>
        <w:t>((</w:t>
      </w:r>
      <w:r>
        <w:rPr>
          <w:strike/>
        </w:rPr>
        <w:t xml:space="preserve">is</w:t>
      </w:r>
      <w:r>
        <w:t>))</w:t>
      </w:r>
      <w:r>
        <w:rPr/>
        <w:t xml:space="preserve"> </w:t>
      </w:r>
      <w:r>
        <w:rPr>
          <w:u w:val="single"/>
        </w:rPr>
        <w:t xml:space="preserve">must be</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
      <w:pPr>
        <w:jc w:val="center"/>
      </w:pPr>
      <w:r>
        <w:rPr>
          <w:b/>
        </w:rPr>
        <w:t>--- END ---</w:t>
      </w:r>
    </w:p>
    <w:sectPr>
      <w:pgNumType w:start="1"/>
      <w:footerReference xmlns:r="http://schemas.openxmlformats.org/officeDocument/2006/relationships" r:id="Ra6020c2dfea547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8ceac2c07a4a25" /><Relationship Type="http://schemas.openxmlformats.org/officeDocument/2006/relationships/footer" Target="/word/footer.xml" Id="Ra6020c2dfea54734" /></Relationships>
</file>