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df9584d44e4e42" /></Relationships>
</file>

<file path=word/document.xml><?xml version="1.0" encoding="utf-8"?>
<w:document xmlns:w="http://schemas.openxmlformats.org/wordprocessingml/2006/main">
  <w:body>
    <w:p>
      <w:r>
        <w:t>H-3942.1</w:t>
      </w:r>
    </w:p>
    <w:p>
      <w:pPr>
        <w:jc w:val="center"/>
      </w:pPr>
      <w:r>
        <w:t>_______________________________________________</w:t>
      </w:r>
    </w:p>
    <w:p/>
    <w:p>
      <w:pPr>
        <w:jc w:val="center"/>
      </w:pPr>
      <w:r>
        <w:rPr>
          <w:b/>
        </w:rPr>
        <w:t>HOUSE BILL 2953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Tarleton, Moscoso, Bergquist, Gregerson, and Stanford</w:t>
      </w:r>
    </w:p>
    <w:p/>
    <w:p>
      <w:r>
        <w:rPr>
          <w:t xml:space="preserve">Read first time 02/01/16.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limitations on the use of public employees by first-class cities on public works projects; and amending RCW 35.22.620.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2012 1st sp.s. c 5 s 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ten percent of the public works construction budget, including any amount in a supplemental public works construction budget, over the budget period. The amount of public works that a first-class city has a county perform for it under RCW 35.77.020 shall be included within this ten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w:t>
      </w:r>
      <w:r>
        <w:t>((</w:t>
      </w:r>
      <w:r>
        <w:rPr>
          <w:strike/>
        </w:rPr>
        <w:t xml:space="preserve">ninety</w:t>
      </w:r>
      <w:r>
        <w:t>))</w:t>
      </w:r>
      <w:r>
        <w:rPr/>
        <w:t xml:space="preserve"> </w:t>
      </w:r>
      <w:r>
        <w:rPr>
          <w:u w:val="single"/>
        </w:rPr>
        <w:t xml:space="preserve">one hundred fifty</w:t>
      </w:r>
      <w:r>
        <w:rPr/>
        <w:t xml:space="preserve"> thousand dollars if more than a single craft or trade is involved with the public works project, or a public works project in excess of </w:t>
      </w:r>
      <w:r>
        <w:t>((</w:t>
      </w:r>
      <w:r>
        <w:rPr>
          <w:strike/>
        </w:rPr>
        <w:t xml:space="preserve">forty-five</w:t>
      </w:r>
      <w:r>
        <w:t>))</w:t>
      </w:r>
      <w:r>
        <w:rPr/>
        <w:t xml:space="preserve"> </w:t>
      </w:r>
      <w:r>
        <w:rPr>
          <w:u w:val="single"/>
        </w:rPr>
        <w:t xml:space="preserve">ninety</w:t>
      </w:r>
      <w:r>
        <w:rPr/>
        <w:t xml:space="preserve"> thousand dollars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one hundred fifty thousand or less shall use the form required by RCW 43.09.205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39.04.155.</w:t>
      </w:r>
    </w:p>
    <w:p>
      <w:pPr>
        <w:spacing w:before="0" w:after="0" w:line="408" w:lineRule="exact"/>
        <w:ind w:left="0" w:right="0" w:firstLine="576"/>
        <w:jc w:val="left"/>
      </w:pPr>
      <w:r>
        <w:rPr/>
        <w:t xml:space="preserve">Whenever possible, the city shall invite at least one proposal from a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39.35A.020(4),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
      <w:pPr>
        <w:jc w:val="center"/>
      </w:pPr>
      <w:r>
        <w:rPr>
          <w:b/>
        </w:rPr>
        <w:t>--- END ---</w:t>
      </w:r>
    </w:p>
    <w:sectPr>
      <w:pgNumType w:start="1"/>
      <w:footerReference xmlns:r="http://schemas.openxmlformats.org/officeDocument/2006/relationships" r:id="R796b0167b02947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782e389014e6f" /><Relationship Type="http://schemas.openxmlformats.org/officeDocument/2006/relationships/footer" Target="/word/footer.xml" Id="R796b0167b0294773" /></Relationships>
</file>