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835f805c534deb" /></Relationships>
</file>

<file path=word/document.xml><?xml version="1.0" encoding="utf-8"?>
<w:document xmlns:w="http://schemas.openxmlformats.org/wordprocessingml/2006/main">
  <w:body>
    <w:p>
      <w:r>
        <w:t>H-3903.1</w:t>
      </w:r>
    </w:p>
    <w:p>
      <w:pPr>
        <w:jc w:val="center"/>
      </w:pPr>
      <w:r>
        <w:t>_______________________________________________</w:t>
      </w:r>
    </w:p>
    <w:p/>
    <w:p>
      <w:pPr>
        <w:jc w:val="center"/>
      </w:pPr>
      <w:r>
        <w:rPr>
          <w:b/>
        </w:rPr>
        <w:t>HOUSE BILL 2952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Scott, Manweller, Holy, Hayes, Haler, and Shea</w:t>
      </w:r>
    </w:p>
    <w:p/>
    <w:p>
      <w:r>
        <w:rPr>
          <w:t xml:space="preserve">Read first time 02/01/16.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understanding the effects on the value of private property by the department of ecology's administrative actions to establish instream flow rules;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institute for public policy must, either directly or through contract with a third party with expertise in economic analysis, produce a report to the legislature that estimates the loss in value of private property in the state that is a direct or proximate result of the inability to access water and develop land because of instream flow rules adopted by the department of ecology.</w:t>
      </w:r>
    </w:p>
    <w:p>
      <w:pPr>
        <w:spacing w:before="0" w:after="0" w:line="408" w:lineRule="exact"/>
        <w:ind w:left="0" w:right="0" w:firstLine="576"/>
        <w:jc w:val="left"/>
      </w:pPr>
      <w:r>
        <w:rPr/>
        <w:t xml:space="preserve">(2) The Washington state institute for public policy may conduct the study required by this section, or have the study conducted, using any effective economic analysis available to estimate the consequences on landowners and local governments of adopted instream flow rules, including any appropriate differences-in-differences analysis.</w:t>
      </w:r>
    </w:p>
    <w:p>
      <w:pPr>
        <w:spacing w:before="0" w:after="0" w:line="408" w:lineRule="exact"/>
        <w:ind w:left="0" w:right="0" w:firstLine="576"/>
        <w:jc w:val="left"/>
      </w:pPr>
      <w:r>
        <w:rPr/>
        <w:t xml:space="preserve">(3) The study required by this section may be limited to representative regional analyses, as opposed to a statewide analysis, if the time and budget for the study is found by the institute to limit the effectiveness or accuracy of a statewide analysis.</w:t>
      </w:r>
    </w:p>
    <w:p>
      <w:pPr>
        <w:spacing w:before="0" w:after="0" w:line="408" w:lineRule="exact"/>
        <w:ind w:left="0" w:right="0" w:firstLine="576"/>
        <w:jc w:val="left"/>
      </w:pPr>
      <w:r>
        <w:rPr/>
        <w:t xml:space="preserve">(4) The study required by this section must be completed by December 31, 2018.</w:t>
      </w:r>
    </w:p>
    <w:p>
      <w:pPr>
        <w:spacing w:before="0" w:after="0" w:line="408" w:lineRule="exact"/>
        <w:ind w:left="0" w:right="0" w:firstLine="576"/>
        <w:jc w:val="left"/>
      </w:pPr>
      <w:r>
        <w:rPr/>
        <w:t xml:space="preserve">(5) This section expires July 31, 2019.</w:t>
      </w:r>
    </w:p>
    <w:p/>
    <w:p>
      <w:pPr>
        <w:jc w:val="center"/>
      </w:pPr>
      <w:r>
        <w:rPr>
          <w:b/>
        </w:rPr>
        <w:t>--- END ---</w:t>
      </w:r>
    </w:p>
    <w:sectPr>
      <w:pgNumType w:start="1"/>
      <w:footerReference xmlns:r="http://schemas.openxmlformats.org/officeDocument/2006/relationships" r:id="Rb1161e1e9612406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81daa0ea22542e0" /><Relationship Type="http://schemas.openxmlformats.org/officeDocument/2006/relationships/footer" Target="/word/footer.xml" Id="Rb1161e1e96124065" /></Relationships>
</file>