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1f7ec7b7e44b4" /></Relationships>
</file>

<file path=word/document.xml><?xml version="1.0" encoding="utf-8"?>
<w:document xmlns:w="http://schemas.openxmlformats.org/wordprocessingml/2006/main">
  <w:body>
    <w:p>
      <w:r>
        <w:t>H-3972.1</w:t>
      </w:r>
    </w:p>
    <w:p>
      <w:pPr>
        <w:jc w:val="center"/>
      </w:pPr>
      <w:r>
        <w:t>_______________________________________________</w:t>
      </w:r>
    </w:p>
    <w:p/>
    <w:p>
      <w:pPr>
        <w:jc w:val="center"/>
      </w:pPr>
      <w:r>
        <w:rPr>
          <w:b/>
        </w:rPr>
        <w:t>HOUSE BILL 2949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Caldier</w:t>
      </w:r>
    </w:p>
    <w:p/>
    <w:p>
      <w:r>
        <w:rPr>
          <w:t xml:space="preserve">Read first time 02/01/16.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a voter's party affiliation declaration with respect to the presidential primary; and amending RCW 29A.56.050.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w:t>
      </w:r>
      <w:r>
        <w:rPr>
          <w:u w:val="single"/>
        </w:rPr>
        <w:t xml:space="preserve">the results of the presidential primary and on</w:t>
      </w:r>
      <w:r>
        <w:rPr/>
        <w:t xml:space="preserve"> the participation in precinct caucuses and conventions conducted under the rules of that party.</w:t>
      </w:r>
    </w:p>
    <w:p>
      <w:pPr>
        <w:spacing w:before="0" w:after="0" w:line="408" w:lineRule="exact"/>
        <w:ind w:left="0" w:right="0" w:firstLine="576"/>
        <w:jc w:val="left"/>
      </w:pPr>
      <w:r>
        <w:rPr/>
        <w:t xml:space="preserve">(2) If requested by a major political party, the secretary of state shall adopt rules under RCW 29A.04.620 to provide for any declaration required by that party.</w:t>
      </w:r>
    </w:p>
    <w:p>
      <w:pPr>
        <w:spacing w:before="0" w:after="0" w:line="408" w:lineRule="exact"/>
        <w:ind w:left="0" w:right="0" w:firstLine="576"/>
        <w:jc w:val="left"/>
      </w:pPr>
      <w:r>
        <w:rPr/>
        <w:t xml:space="preserve">(3) Voters who subscribe to a specific political party declaration under this section must be given ballots that are readily distinguishable from those given to other voters.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w:t>
      </w:r>
      <w:r>
        <w:rPr>
          <w:u w:val="single"/>
        </w:rPr>
        <w:t xml:space="preserve">Subject to subsection (5) of this section, f</w:t>
      </w:r>
      <w:r>
        <w:rPr/>
        <w:t xml:space="preserve">or a political party that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Pr>
        <w:spacing w:before="0" w:after="0" w:line="408" w:lineRule="exact"/>
        <w:ind w:left="0" w:right="0" w:firstLine="576"/>
        <w:jc w:val="left"/>
      </w:pPr>
      <w:r>
        <w:rPr>
          <w:u w:val="single"/>
        </w:rPr>
        <w:t xml:space="preserve">(5) The secretary of state may only provide voter declaration information to state and county committees of major political parties if a major political party submits documentation to the secretary by October 1st of the year preceding the presidential election that the party will use the results of the presidential primary when allocating delegates to the national nominating convention of that party.</w:t>
      </w:r>
    </w:p>
    <w:p/>
    <w:p>
      <w:pPr>
        <w:jc w:val="center"/>
      </w:pPr>
      <w:r>
        <w:rPr>
          <w:b/>
        </w:rPr>
        <w:t>--- END ---</w:t>
      </w:r>
    </w:p>
    <w:sectPr>
      <w:pgNumType w:start="1"/>
      <w:footerReference xmlns:r="http://schemas.openxmlformats.org/officeDocument/2006/relationships" r:id="R29296449d07e42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f2af3514c14508" /><Relationship Type="http://schemas.openxmlformats.org/officeDocument/2006/relationships/footer" Target="/word/footer.xml" Id="R29296449d07e4280" /></Relationships>
</file>