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0cb9e54ffb457a" /></Relationships>
</file>

<file path=word/document.xml><?xml version="1.0" encoding="utf-8"?>
<w:document xmlns:w="http://schemas.openxmlformats.org/wordprocessingml/2006/main">
  <w:body>
    <w:p>
      <w:r>
        <w:t>H-3920.2</w:t>
      </w:r>
    </w:p>
    <w:p>
      <w:pPr>
        <w:jc w:val="center"/>
      </w:pPr>
      <w:r>
        <w:t>_______________________________________________</w:t>
      </w:r>
    </w:p>
    <w:p/>
    <w:p>
      <w:pPr>
        <w:jc w:val="center"/>
      </w:pPr>
      <w:r>
        <w:rPr>
          <w:b/>
        </w:rPr>
        <w:t>HOUSE BILL 2947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Sullivan, Lytton, Blake, and Rossetti</w:t>
      </w:r>
    </w:p>
    <w:p/>
    <w:p>
      <w:r>
        <w:rPr>
          <w:t xml:space="preserve">Read first time 01/29/16.  </w:t>
        </w:rPr>
      </w:r>
      <w:r>
        <w:rPr>
          <w:t xml:space="preserve">Referred to Committee on General Government &amp; Information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 governance; amending RCW 43.17.010 and 43.17.020; reenacting and amending RCW 42.17A.705; adding a new section to chapter 41.06 RCW; adding a new chapter to Title 28A RCW; creating new sections; providing a contingent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growing number of agencies, each with their own priorities and activities, set education policy. The legislature further recognizes that while there is excellent work being pursued by individual entities in response to their specific duties, the focus and impact for student success would be magnified if there were a cohesive state-level governance education system and if some of these agencies were brought together. The legislature further finds that consolidation of state-level education entities would result in a governance system with a more unified student-centered vision, common goals, shared priorities, and linked outcomes. The results for learners would be improved with an integrated system approach.</w:t>
      </w:r>
    </w:p>
    <w:p>
      <w:pPr>
        <w:spacing w:before="0" w:after="0" w:line="408" w:lineRule="exact"/>
        <w:ind w:left="0" w:right="0" w:firstLine="576"/>
        <w:jc w:val="left"/>
      </w:pPr>
      <w:r>
        <w:rPr/>
        <w:t xml:space="preserve">The legislature intends to create a cohesive state-level governance education system that will provide for integrated policies at the state level and consistent best practice guidance and technical assistance to local delivery systems. By consolidating state-level planning, policies, and assistance, the legislature intends that outcomes for learners will improve and management burdens for local delivery systems will be lessened.</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DEPARTMENT OF EDUCATION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There is created a department of state government to be known as the department of education. The department is vested with all powers and duties transferred to it under this chapter and such other powers and duties as may be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education.</w:t>
      </w:r>
    </w:p>
    <w:p>
      <w:pPr>
        <w:spacing w:before="0" w:after="0" w:line="408" w:lineRule="exact"/>
        <w:ind w:left="0" w:right="0" w:firstLine="576"/>
        <w:jc w:val="left"/>
      </w:pPr>
      <w:r>
        <w:rPr/>
        <w:t xml:space="preserve">(2) "Director" means the director of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executive head and appointing authority of the department is the director. The director shall be appointed by the governor, with the consent of the senate, and shall serve at the pleasure of the governor. The director shall be paid a salary to be fixed by the governor in accordance with RCW 43.03.040. If a vacancy occurs in the position while the senate is not in session, the governor shall make a temporary appointment until the next meeting of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wherever possible to place the internal affairs of the department under the control of the director in order that the director may institute therein the flexible, alert, and intelligent management of its business that changing contemporary circumstances require. Therefore, whenever the director's authority is not specifically limited by law, the director has complete charge and supervisory powers over the department. The director may create such administrative structures as the director considers appropriate, except as otherwise specified by law. The director may employ such assistants and personnel as necessary for the general administration of the department. This employment shall be in accordance with the state civil service law, chapter 41.06 RCW, except as otherwise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appoint a deputy director, a department personnel director, and such assistant directors as may be needed to administer the department. The deputy director shall have charge and general supervision of the department in the absence or disability of the director and, in case of a vacancy in the office of director, shall continue in charge of the department until a successor is appointed and qualified, or until the governor appoints an acting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power or duty vested in or transferred to the director by law or executive order may be delegated by the director to the deputy director or to any other assistant or subordinate; but the director shall be responsible for the official acts of the officers and employees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may appoint such advisory committees or councils as may be required by any federal legislation as a condition to the receipt of federal funds by the department.</w:t>
      </w:r>
    </w:p>
    <w:p>
      <w:pPr>
        <w:spacing w:before="0" w:after="0" w:line="408" w:lineRule="exact"/>
        <w:ind w:left="0" w:right="0" w:firstLine="576"/>
        <w:jc w:val="left"/>
      </w:pPr>
      <w:r>
        <w:rPr/>
        <w:t xml:space="preserve">(2) The director may also appoint statewide committees or councils on such subject matters as are or come within the department's responsibilities.</w:t>
      </w:r>
    </w:p>
    <w:p>
      <w:pPr>
        <w:spacing w:before="0" w:after="0" w:line="408" w:lineRule="exact"/>
        <w:ind w:left="0" w:right="0" w:firstLine="576"/>
        <w:jc w:val="left"/>
      </w:pPr>
      <w:r>
        <w:rPr/>
        <w:t xml:space="preserve">(3) The director may also appoint advisory committees on K-12 public education.</w:t>
      </w:r>
    </w:p>
    <w:p>
      <w:pPr>
        <w:spacing w:before="0" w:after="0" w:line="408" w:lineRule="exact"/>
        <w:ind w:left="0" w:right="0" w:firstLine="576"/>
        <w:jc w:val="left"/>
      </w:pPr>
      <w:r>
        <w:rPr/>
        <w:t xml:space="preserve">(4) Members of state advisory committees or councils under this section may be paid their travel expenses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furtherance of the policy of the state to cooperate with the federal government in all of the programs under the jurisdiction of the department, such rules as may become necessary to entitle the state to participate in federal funds may be adopted, unless expressly prohibited by law. Any internal reorganization carried out under the terms of this chapter shall meet federal requirements that are a necessary condition to state receipt of federal funds. Any section or provision of law dealing with the department that may be susceptible to more than one construction shall be interpreted in favor of the construction most likely to comply with federal laws entitling this state to receive federal funds for the various programs of the department. If any law dealing with the department is ruled to be in conflict with federal requirements that are a prescribed condition of the allocation of federal funds to the state, or to any departments or agencies thereof, the conflicting part is declared to be inoperative solely to the extent of the conflict.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governor shall appoint a transition team to plan the technical and practical steps required to bring the office of the superintendent of public instruction into a new department as provided in this act. The transition team may include representatives from the office of the superintendent of public instruction. The governor shall appoint the lead of the transition team.</w:t>
      </w:r>
    </w:p>
    <w:p>
      <w:pPr>
        <w:spacing w:before="0" w:after="0" w:line="408" w:lineRule="exact"/>
        <w:ind w:left="0" w:right="0" w:firstLine="576"/>
        <w:jc w:val="left"/>
      </w:pPr>
      <w:r>
        <w:rPr/>
        <w:t xml:space="preserve">(2) The transition team shall complete the transition plan and implementation schedule by January 1, 2018. The plan shall be designed to phase-in the operation of the department of education to begin by July 1, 2018, and be completed by July 1, 2019.</w:t>
      </w:r>
    </w:p>
    <w:p>
      <w:pPr>
        <w:spacing w:before="0" w:after="0" w:line="408" w:lineRule="exact"/>
        <w:ind w:left="0" w:right="0" w:firstLine="576"/>
        <w:jc w:val="left"/>
      </w:pPr>
      <w:r>
        <w:rPr/>
        <w:t xml:space="preserve">(3)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under RCW 41.06.070, the provisions of this chapter shall not apply in the department of education to the director, the director's personal secretary, the deputy director, all division directors and assistant directors, and one confidential secretary for each of these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010</w:t>
      </w:r>
      <w:r>
        <w:rPr/>
        <w:t xml:space="preserve"> and 2011 1st sp.s. c 43 s 107 are each amended to read as follows:</w:t>
      </w:r>
    </w:p>
    <w:p>
      <w:pPr>
        <w:spacing w:before="0" w:after="0" w:line="408" w:lineRule="exact"/>
        <w:ind w:left="0" w:right="0" w:firstLine="576"/>
        <w:jc w:val="left"/>
      </w:pPr>
      <w:r>
        <w:rPr/>
        <w:t xml:space="preserve">There shall be departments of the state government which shall be known as (1) the department of social and health services, (2) the department of ecology, (3) the department of labor and industries, (4) the department of agriculture, (5) the department of fish and wildlife, (6) the department of transportation, (7) the department of licensing, (8) the department of enterprise services, (9) the department of commerce, (10) the department of veterans affairs, (11) the department of revenue, (12) the department of retirement systems, (13) the department of corrections, (14) the department of health, (15) the department of financial institutions, (16) the department of archaeology and historic preservation, (17) the department of early learning, </w:t>
      </w:r>
      <w:r>
        <w:t>((</w:t>
      </w:r>
      <w:r>
        <w:rPr>
          <w:strike/>
        </w:rPr>
        <w:t xml:space="preserve">and</w:t>
      </w:r>
      <w:r>
        <w:t>))</w:t>
      </w:r>
      <w:r>
        <w:rPr/>
        <w:t xml:space="preserve"> (18) the Puget Sound partnership</w:t>
      </w:r>
      <w:r>
        <w:rPr>
          <w:u w:val="single"/>
        </w:rPr>
        <w:t xml:space="preserve">, and (19) the department of education</w:t>
      </w:r>
      <w:r>
        <w:rPr/>
        <w:t xml:space="preserve">, which shall be charged with the execution, enforcement, and administration of such laws, and invested with such powers and required to perform such duties, as the legislature may provide.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020</w:t>
      </w:r>
      <w:r>
        <w:rPr/>
        <w:t xml:space="preserve"> and 2011 1st sp.s. c 43 s 108 are each amended to read as follows:</w:t>
      </w:r>
    </w:p>
    <w:p>
      <w:pPr>
        <w:spacing w:before="0" w:after="0" w:line="408" w:lineRule="exact"/>
        <w:ind w:left="0" w:right="0" w:firstLine="576"/>
        <w:jc w:val="left"/>
      </w:pPr>
      <w:r>
        <w:rPr/>
        <w:t xml:space="preserve">There shall be a chief executive officer of each department to be known as: (1) The secretary of social and health services, (2) the director of ecology, (3) the director of labor and industries, (4) the director of agriculture, (5) the director of fish and wildlife, (6) the secretary of transportation, (7) the director of licensing, (8) the director of enterprise services, (9) the director of commerce, (10) the director of veterans affairs, (11) the director of revenue, (12) the director of retirement systems, (13) the secretary of corrections, (14) the secretary of health, (15) the director of financial institutions, (16) the director of the department of archaeology and historic preservation, (17) the director of early learning, </w:t>
      </w:r>
      <w:r>
        <w:t>((</w:t>
      </w:r>
      <w:r>
        <w:rPr>
          <w:strike/>
        </w:rPr>
        <w:t xml:space="preserve">and</w:t>
      </w:r>
      <w:r>
        <w:t>))</w:t>
      </w:r>
      <w:r>
        <w:rPr/>
        <w:t xml:space="preserve"> (18) the executive director of the Puget Sound partnership</w:t>
      </w:r>
      <w:r>
        <w:rPr>
          <w:u w:val="single"/>
        </w:rPr>
        <w:t xml:space="preserve">, and (19) the director of education</w:t>
      </w:r>
      <w:r>
        <w:rPr/>
        <w:t xml:space="preserve">.</w:t>
      </w:r>
    </w:p>
    <w:p>
      <w:pPr>
        <w:spacing w:before="0" w:after="0" w:line="408" w:lineRule="exact"/>
        <w:ind w:left="0" w:right="0" w:firstLine="576"/>
        <w:jc w:val="left"/>
      </w:pPr>
      <w:r>
        <w:rPr/>
        <w:t xml:space="preserve">Such officers, except the director of fish and wildlife, shall be appointed by the governor, with the consent of the senate, and hold office at the pleasure of the governor. The director of fish and wildlife shall be appointed by the fish and wildlife commission as prescribed by RCW 77.04.055.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2015 3rd sp.s. c 1 s 406 and 2015 c 1 s 317 are each reenacted and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director of the state system of community and technical colleges, the director of commerce, the director of the consolidated technology services agency, the secretary of corrections, the director of early learning, the director of ecology, </w:t>
      </w:r>
      <w:r>
        <w:rPr>
          <w:u w:val="single"/>
        </w:rPr>
        <w:t xml:space="preserve">the director of education,</w:t>
      </w:r>
      <w:r>
        <w:rPr/>
        <w:t xml:space="preserve">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w:t>
      </w:r>
      <w:r>
        <w:t>((</w:t>
      </w:r>
      <w:r>
        <w:rPr>
          <w:strike/>
        </w:rPr>
        <w:t xml:space="preserve">control</w:t>
      </w:r>
      <w:r>
        <w:t>))</w:t>
      </w:r>
      <w:r>
        <w:rPr/>
        <w:t xml:space="preserve"> </w:t>
      </w:r>
      <w:r>
        <w:rPr>
          <w:u w:val="single"/>
        </w:rPr>
        <w:t xml:space="preserve">and cannabis</w:t>
      </w:r>
      <w:r>
        <w:rPr/>
        <w:t xml:space="preserve">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is hereby abolished and its powers, duties, and functions are hereby transferred to the department of education. All references to the superintendent of public instruction or the office of the superintendent of public instruction in the Revised Code of Washington shall be construed to mean the director or the department of education.</w:t>
      </w:r>
    </w:p>
    <w:p>
      <w:pPr>
        <w:spacing w:before="0" w:after="0" w:line="408" w:lineRule="exact"/>
        <w:ind w:left="0" w:right="0" w:firstLine="576"/>
        <w:jc w:val="left"/>
      </w:pPr>
      <w:r>
        <w:rPr/>
        <w:t xml:space="preserve">(2)(a) All reports, documents, surveys, books, records, files, papers, or written material in the possession of the office of the superintendent of public instruction shall be delivered to the custody of the department of education. All cabinets, furniture, office equipment, motor vehicles, and other tangible property employed by the office of the superintendent of public instruction shall be made available to the department of education. All funds, credits, or other assets held by the office of the superintendent of public instruction shall be assigned to the department of education.</w:t>
      </w:r>
    </w:p>
    <w:p>
      <w:pPr>
        <w:spacing w:before="0" w:after="0" w:line="408" w:lineRule="exact"/>
        <w:ind w:left="0" w:right="0" w:firstLine="576"/>
        <w:jc w:val="left"/>
      </w:pPr>
      <w:r>
        <w:rPr/>
        <w:t xml:space="preserve">(b) Any appropriations made to the office of the superintendent of public instruction shall, on the effective date of this section, be transferred and credited to the department of education.</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office of the superintendent of public instruction are transferred to the jurisdiction of the department of education. All employees classified under chapter 41.06 RCW, the state civil service law, are assigned to the department of education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office of the superintendent of public instruction shall be continued and acted upon by the department of education. All existing contracts and obligations shall remain in full force and shall be performed by the department of education.</w:t>
      </w:r>
    </w:p>
    <w:p>
      <w:pPr>
        <w:spacing w:before="0" w:after="0" w:line="408" w:lineRule="exact"/>
        <w:ind w:left="0" w:right="0" w:firstLine="576"/>
        <w:jc w:val="left"/>
      </w:pPr>
      <w:r>
        <w:rPr/>
        <w:t xml:space="preserve">(5) The transfer of the powers, duties, functions, and personnel of the office of the superintendent of public instruction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 All classified employees of the office of the superintendent of public instruction assigned to the department of education under this section whose positions are within an existing bargaining unit description at the department of education shall become a part of the existing bargaining unit at the department of education and shall be considered an appropriate inclusion or modification of the existing bargaining unit under the provisions of chapter 41.80 RCW.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STATE BOARD OF EDUCATION TRANSFERRED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state board of education is hereby abolished and its powers, duties, and functions are hereby transferred to the department of education. All references to the executive director or the state board of education in the Revised Code of Washington shall be construed to mean the director or the department of education.</w:t>
      </w:r>
    </w:p>
    <w:p>
      <w:pPr>
        <w:spacing w:before="0" w:after="0" w:line="408" w:lineRule="exact"/>
        <w:ind w:left="0" w:right="0" w:firstLine="576"/>
        <w:jc w:val="left"/>
      </w:pPr>
      <w:r>
        <w:rPr/>
        <w:t xml:space="preserve">(2)(a) All reports, documents, surveys, books, records, files, papers, or written material in the possession of the state board of education shall be delivered to the custody of the department of education. All cabinets, furniture, office equipment, motor vehicles, and other tangible property employed by the state board of education shall be made available to the department of education. All funds, credits, or other assets held by the state board of education shall be assigned to the department of education.</w:t>
      </w:r>
    </w:p>
    <w:p>
      <w:pPr>
        <w:spacing w:before="0" w:after="0" w:line="408" w:lineRule="exact"/>
        <w:ind w:left="0" w:right="0" w:firstLine="576"/>
        <w:jc w:val="left"/>
      </w:pPr>
      <w:r>
        <w:rPr/>
        <w:t xml:space="preserve">(b) Any appropriations made to the state board of education shall, on the effective date of this section, be transferred and credited to the department of education.</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state board of education are transferred to the jurisdiction of the department of education. All employees classified under chapter 41.06 RCW, the state civil service law, are assigned to the department of education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state board of education shall be continued and acted upon by the department of education. All existing contracts and obligations shall remain in full force and shall be performed by the department of education.</w:t>
      </w:r>
    </w:p>
    <w:p>
      <w:pPr>
        <w:spacing w:before="0" w:after="0" w:line="408" w:lineRule="exact"/>
        <w:ind w:left="0" w:right="0" w:firstLine="576"/>
        <w:jc w:val="left"/>
      </w:pPr>
      <w:r>
        <w:rPr/>
        <w:t xml:space="preserve">(5) The transfer of the powers, duties, functions, and personnel of the state board of education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 All classified employees of the state board of education assigned to the department of education under this section whose positions are within an existing bargaining unit description at the department of education shall become a part of the existing bargaining unit at the department of education and shall be considered an appropriate inclusion or modification of the existing bargaining unit under the provisions of chapter 41.80 RCW.</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Sections 101 through 109 and 201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2019, if the proposed amendment to Article III, sections 1, 3, 10, 22, and 24 of the state Constitution eliminating the office of the superintendent of public instruction (H-3919/16) is validly submitted to and is approved and ratified by the voters at the next general election. If the proposed amendment is not approved and ratified, this act is void in its entirety.</w:t>
      </w:r>
    </w:p>
    <w:p/>
    <w:p>
      <w:pPr>
        <w:jc w:val="center"/>
      </w:pPr>
      <w:r>
        <w:rPr>
          <w:b/>
        </w:rPr>
        <w:t>--- END ---</w:t>
      </w:r>
    </w:p>
    <w:sectPr>
      <w:pgNumType w:start="1"/>
      <w:footerReference xmlns:r="http://schemas.openxmlformats.org/officeDocument/2006/relationships" r:id="R81169dffff2b48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b7ab5efed14456" /><Relationship Type="http://schemas.openxmlformats.org/officeDocument/2006/relationships/footer" Target="/word/footer.xml" Id="R81169dffff2b484d" /></Relationships>
</file>