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d41ae0bdd47d4" /></Relationships>
</file>

<file path=word/document.xml><?xml version="1.0" encoding="utf-8"?>
<w:document xmlns:w="http://schemas.openxmlformats.org/wordprocessingml/2006/main">
  <w:body>
    <w:p>
      <w:r>
        <w:t>H-3808.1</w:t>
      </w:r>
    </w:p>
    <w:p>
      <w:pPr>
        <w:jc w:val="center"/>
      </w:pPr>
      <w:r>
        <w:t>_______________________________________________</w:t>
      </w:r>
    </w:p>
    <w:p/>
    <w:p>
      <w:pPr>
        <w:jc w:val="center"/>
      </w:pPr>
      <w:r>
        <w:rPr>
          <w:b/>
        </w:rPr>
        <w:t>HOUSE BILL 2929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Parker, Ormsby, and Pollet</w:t>
      </w:r>
    </w:p>
    <w:p/>
    <w:p>
      <w:r>
        <w:rPr>
          <w:t xml:space="preserve">Read first time 01/28/16.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homeless housing by religious organizations; amending RCW 35.21.915, 35A.21.360, and 36.01.290; adding a new section to chapter 19.27 RCW; and adding a new section to chapter 19.27A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provisions of RCW 35.21.915, 35A.21.360, and 36.01.290 apply to all codes adopted under this chapter, which should be liberally construed to effectuate the policies and purposes of RCW 35.21.915, 35A.21.360, and 36.01.290 and to be viewed in the light most favorable to allow for shelter for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provisions of RCW 35.21.915, 35A.21.360, and 36.01.290 apply to all codes adopted under this chapter, which should be liberally construed to effectuate the policies and purposes of RCW 35.21.915, 35A.21.360, and 36.01.290 and to be viewed in the light most favorable to allow for shelter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that were built in accordance with the laws at the time of construction;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that were built in accordance with the laws at the time of construction;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Requires the installation of fire sprinklers or any structural modification to the size of windows or doors in buildings that were built in accordance with the laws at the time of construction; or</w:t>
      </w:r>
    </w:p>
    <w:p>
      <w:pPr>
        <w:spacing w:before="0" w:after="0" w:line="408" w:lineRule="exact"/>
        <w:ind w:left="0" w:right="0" w:firstLine="576"/>
        <w:jc w:val="left"/>
      </w:pPr>
      <w:r>
        <w:rPr>
          <w:u w:val="single"/>
        </w:rPr>
        <w:t xml:space="preserve">(e) Changes the certificate of occupancy for a building</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9266eb57101d44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846fbd2334071" /><Relationship Type="http://schemas.openxmlformats.org/officeDocument/2006/relationships/footer" Target="/word/footer.xml" Id="R9266eb57101d4495" /></Relationships>
</file>