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bf12d115dd4e3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2908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Ryu, Ortiz-Self, Walkinshaw, Stanford,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community policing standards for a safer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hold law enforcement to a high standard in their positions of public trust and as the guardians in our communities, and the legislature applauds their efforts to show respect and compassion to all citizens while holding individuals accountable for their criminal activity.</w:t>
      </w:r>
    </w:p>
    <w:p>
      <w:pPr>
        <w:spacing w:before="0" w:after="0" w:line="408" w:lineRule="exact"/>
        <w:ind w:left="0" w:right="0" w:firstLine="576"/>
        <w:jc w:val="left"/>
      </w:pPr>
      <w:r>
        <w:rPr/>
        <w:t xml:space="preserve">The legislature acknowledges that officers are often placed in harm's way and must make decisions quickly while under extreme stress. Although regrettable in every case, the use of deadly force may sometimes be necessary to protect the safety of others. The legislature also recognizes that both the people of this state and law enforcement officers themselves rely on and expect accountability, the failure of which damages the public trust in those who serve the public honorably and with compassion.</w:t>
      </w:r>
    </w:p>
    <w:p>
      <w:pPr>
        <w:spacing w:before="0" w:after="0" w:line="408" w:lineRule="exact"/>
        <w:ind w:left="0" w:right="0" w:firstLine="576"/>
        <w:jc w:val="left"/>
      </w:pPr>
      <w:r>
        <w:rPr/>
        <w:t xml:space="preserve">The legislature finds that the law of deadly force in Washington provides absolute protection for law enforcement in virtually all instances, above and beyond that which is reasonable and justifiable. As such, the legislature finds that the law regarding use of deadly force in Washington does not reflect the expectations of law enforcement or the people of this state. The legislature also acknowledges that the current law on deadly force in Washington provides insufficient clarity for law enforcement on when deadly force is justifiable and when it is not.</w:t>
      </w:r>
    </w:p>
    <w:p>
      <w:pPr>
        <w:spacing w:before="0" w:after="0" w:line="408" w:lineRule="exact"/>
        <w:ind w:left="0" w:right="0" w:firstLine="576"/>
        <w:jc w:val="left"/>
      </w:pPr>
      <w:r>
        <w:rPr/>
        <w:t xml:space="preserve">It is the intent of the legislature to improve our deadly force law in a manner that provides clear guidance to law enforcement, respects and supports the role of law enforcement to maintain public safety, and fosters accountability and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the use of deadly force in community policing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 following:</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Washington council of police and sheriffs;</w:t>
      </w:r>
    </w:p>
    <w:p>
      <w:pPr>
        <w:spacing w:before="0" w:after="0" w:line="408" w:lineRule="exact"/>
        <w:ind w:left="0" w:right="0" w:firstLine="576"/>
        <w:jc w:val="left"/>
      </w:pPr>
      <w:r>
        <w:rPr/>
        <w:t xml:space="preserve">(iv) Criminal justice training commission;</w:t>
      </w:r>
    </w:p>
    <w:p>
      <w:pPr>
        <w:spacing w:before="0" w:after="0" w:line="408" w:lineRule="exact"/>
        <w:ind w:left="0" w:right="0" w:firstLine="576"/>
        <w:jc w:val="left"/>
      </w:pPr>
      <w:r>
        <w:rPr/>
        <w:t xml:space="preserve">(v) Washington association of prosecuting attorneys;</w:t>
      </w:r>
    </w:p>
    <w:p>
      <w:pPr>
        <w:spacing w:before="0" w:after="0" w:line="408" w:lineRule="exact"/>
        <w:ind w:left="0" w:right="0" w:firstLine="576"/>
        <w:jc w:val="left"/>
      </w:pPr>
      <w:r>
        <w:rPr/>
        <w:t xml:space="preserve">(vi) Washington association of criminal defense lawyers, public defender association, or the Washington defender association;</w:t>
      </w:r>
    </w:p>
    <w:p>
      <w:pPr>
        <w:spacing w:before="0" w:after="0" w:line="408" w:lineRule="exact"/>
        <w:ind w:left="0" w:right="0" w:firstLine="576"/>
        <w:jc w:val="left"/>
      </w:pPr>
      <w:r>
        <w:rPr/>
        <w:t xml:space="preserve">(vii) Washington state association of counties;</w:t>
      </w:r>
    </w:p>
    <w:p>
      <w:pPr>
        <w:spacing w:before="0" w:after="0" w:line="408" w:lineRule="exact"/>
        <w:ind w:left="0" w:right="0" w:firstLine="576"/>
        <w:jc w:val="left"/>
      </w:pPr>
      <w:r>
        <w:rPr/>
        <w:t xml:space="preserve">(viii) Association of Washington cities;</w:t>
      </w:r>
    </w:p>
    <w:p>
      <w:pPr>
        <w:spacing w:before="0" w:after="0" w:line="408" w:lineRule="exact"/>
        <w:ind w:left="0" w:right="0" w:firstLine="576"/>
        <w:jc w:val="left"/>
      </w:pPr>
      <w:r>
        <w:rPr/>
        <w:t xml:space="preserve">(ix) American civil liberties union of Washington;</w:t>
      </w:r>
    </w:p>
    <w:p>
      <w:pPr>
        <w:spacing w:before="0" w:after="0" w:line="408" w:lineRule="exact"/>
        <w:ind w:left="0" w:right="0" w:firstLine="576"/>
        <w:jc w:val="left"/>
      </w:pPr>
      <w:r>
        <w:rPr/>
        <w:t xml:space="preserve">(x) National association for the advancement of colored people or its designee;</w:t>
      </w:r>
    </w:p>
    <w:p>
      <w:pPr>
        <w:spacing w:before="0" w:after="0" w:line="408" w:lineRule="exact"/>
        <w:ind w:left="0" w:right="0" w:firstLine="576"/>
        <w:jc w:val="left"/>
      </w:pPr>
      <w:r>
        <w:rPr/>
        <w:t xml:space="preserve">(xi) Northwest immigration rights project;</w:t>
      </w:r>
    </w:p>
    <w:p>
      <w:pPr>
        <w:spacing w:before="0" w:after="0" w:line="408" w:lineRule="exact"/>
        <w:ind w:left="0" w:right="0" w:firstLine="576"/>
        <w:jc w:val="left"/>
      </w:pPr>
      <w:r>
        <w:rPr/>
        <w:t xml:space="preserve">(xii) Black alliance of Thurston county;</w:t>
      </w:r>
    </w:p>
    <w:p>
      <w:pPr>
        <w:spacing w:before="0" w:after="0" w:line="408" w:lineRule="exact"/>
        <w:ind w:left="0" w:right="0" w:firstLine="576"/>
        <w:jc w:val="left"/>
      </w:pPr>
      <w:r>
        <w:rPr/>
        <w:t xml:space="preserve">(xiii) Disability rights Washington;</w:t>
      </w:r>
    </w:p>
    <w:p>
      <w:pPr>
        <w:spacing w:before="0" w:after="0" w:line="408" w:lineRule="exact"/>
        <w:ind w:left="0" w:right="0" w:firstLine="576"/>
        <w:jc w:val="left"/>
      </w:pPr>
      <w:r>
        <w:rPr/>
        <w:t xml:space="preserve">(xiv) Latino civic alliance;</w:t>
      </w:r>
    </w:p>
    <w:p>
      <w:pPr>
        <w:spacing w:before="0" w:after="0" w:line="408" w:lineRule="exact"/>
        <w:ind w:left="0" w:right="0" w:firstLine="576"/>
        <w:jc w:val="left"/>
      </w:pPr>
      <w:r>
        <w:rPr/>
        <w:t xml:space="preserve">(xv) COMPAS (council of metropolitan police and sheriffs); and</w:t>
      </w:r>
    </w:p>
    <w:p>
      <w:pPr>
        <w:spacing w:before="0" w:after="0" w:line="408" w:lineRule="exact"/>
        <w:ind w:left="0" w:right="0" w:firstLine="576"/>
        <w:jc w:val="left"/>
      </w:pPr>
      <w:r>
        <w:rPr/>
        <w:t xml:space="preserve">(xvi) Two members representing liberty organizations.</w:t>
      </w:r>
    </w:p>
    <w:p>
      <w:pPr>
        <w:spacing w:before="0" w:after="0" w:line="408" w:lineRule="exact"/>
        <w:ind w:left="0" w:right="0" w:firstLine="576"/>
        <w:jc w:val="left"/>
      </w:pPr>
      <w:r>
        <w:rPr/>
        <w:t xml:space="preserve">(d) The governor shall appoint four members representing the following:</w:t>
      </w:r>
    </w:p>
    <w:p>
      <w:pPr>
        <w:spacing w:before="0" w:after="0" w:line="408" w:lineRule="exact"/>
        <w:ind w:left="0" w:right="0" w:firstLine="576"/>
        <w:jc w:val="left"/>
      </w:pPr>
      <w:r>
        <w:rPr/>
        <w:t xml:space="preserve">(i) Washington state commission on Hispanic affairs;</w:t>
      </w:r>
    </w:p>
    <w:p>
      <w:pPr>
        <w:spacing w:before="0" w:after="0" w:line="408" w:lineRule="exact"/>
        <w:ind w:left="0" w:right="0" w:firstLine="576"/>
        <w:jc w:val="left"/>
      </w:pPr>
      <w:r>
        <w:rPr/>
        <w:t xml:space="preserve">(ii) Washington state commission on Asian Pacific American affairs;</w:t>
      </w:r>
    </w:p>
    <w:p>
      <w:pPr>
        <w:spacing w:before="0" w:after="0" w:line="408" w:lineRule="exact"/>
        <w:ind w:left="0" w:right="0" w:firstLine="576"/>
        <w:jc w:val="left"/>
      </w:pPr>
      <w:r>
        <w:rPr/>
        <w:t xml:space="preserve">(iii) Washington state commission on African-American affairs; and</w:t>
      </w:r>
    </w:p>
    <w:p>
      <w:pPr>
        <w:spacing w:before="0" w:after="0" w:line="408" w:lineRule="exact"/>
        <w:ind w:left="0" w:right="0" w:firstLine="576"/>
        <w:jc w:val="left"/>
      </w:pPr>
      <w:r>
        <w:rPr/>
        <w:t xml:space="preserve">(iv) Governor's office of Indian affairs.</w:t>
      </w:r>
    </w:p>
    <w:p>
      <w:pPr>
        <w:spacing w:before="0" w:after="0" w:line="408" w:lineRule="exact"/>
        <w:ind w:left="0" w:right="0" w:firstLine="576"/>
        <w:jc w:val="left"/>
      </w:pPr>
      <w:r>
        <w:rPr/>
        <w:t xml:space="preserve">(3) The task force shall:</w:t>
      </w:r>
    </w:p>
    <w:p>
      <w:pPr>
        <w:spacing w:before="0" w:after="0" w:line="408" w:lineRule="exact"/>
        <w:ind w:left="0" w:right="0" w:firstLine="576"/>
        <w:jc w:val="left"/>
      </w:pPr>
      <w:r>
        <w:rPr/>
        <w:t xml:space="preserve">(a) Review laws, practices, and training programs regarding the use of deadly force in Washington state and other states;</w:t>
      </w:r>
    </w:p>
    <w:p>
      <w:pPr>
        <w:spacing w:before="0" w:after="0" w:line="408" w:lineRule="exact"/>
        <w:ind w:left="0" w:right="0" w:firstLine="576"/>
        <w:jc w:val="left"/>
      </w:pPr>
      <w:r>
        <w:rPr/>
        <w:t xml:space="preserve">(b) Review current policies, practices, and tools used by or otherwise available to law enforcement as an alternative to lethal uses of force, including tasers and other nonlethal weapons; and</w:t>
      </w:r>
    </w:p>
    <w:p>
      <w:pPr>
        <w:spacing w:before="0" w:after="0" w:line="408" w:lineRule="exact"/>
        <w:ind w:left="0" w:right="0" w:firstLine="576"/>
        <w:jc w:val="left"/>
      </w:pPr>
      <w:r>
        <w:rPr/>
        <w:t xml:space="preserve">(c) Review proposals and recommend modifications to the standards for justifiable homicide and criminal liability in RCW 9A.16.040 to assure adequate protection for law enforcement and the community.</w:t>
      </w:r>
    </w:p>
    <w:p>
      <w:pPr>
        <w:spacing w:before="0" w:after="0" w:line="408" w:lineRule="exact"/>
        <w:ind w:left="0" w:right="0" w:firstLine="576"/>
        <w:jc w:val="left"/>
      </w:pPr>
      <w:r>
        <w:rPr/>
        <w:t xml:space="preserve">(4) The task force may review literature and reports on the use of deadly force, and may consult with persons, organizations, and entities with interest or experience in community policing including, but not limited to, law enforcement, local governments, professional associations, community organizations, advocacy groups, and faith-based organizations.</w:t>
      </w:r>
    </w:p>
    <w:p>
      <w:pPr>
        <w:spacing w:before="0" w:after="0" w:line="408" w:lineRule="exact"/>
        <w:ind w:left="0" w:right="0" w:firstLine="576"/>
        <w:jc w:val="left"/>
      </w:pPr>
      <w:r>
        <w:rPr/>
        <w:t xml:space="preserve">(5) The legislative membership shall convene the initial meeting of the task force no later than July 1, 2016. The task force shall convene at least four meetings in 2016. The task force shall choose its cochairs from among its legislative membership, which must include one representative from the house of representatives and one senator from the senate.</w:t>
      </w:r>
    </w:p>
    <w:p>
      <w:pPr>
        <w:spacing w:before="0" w:after="0" w:line="408" w:lineRule="exact"/>
        <w:ind w:left="0" w:right="0" w:firstLine="576"/>
        <w:jc w:val="left"/>
      </w:pPr>
      <w:r>
        <w:rPr/>
        <w:t xml:space="preserve">(6) The task force shall submit a report, which may include findings and recommendations, to the governor and the appropriate committees of the legislature by December 1, 2016. A minority report must be submitted along with the task force's report if requested by any member of the task force.</w:t>
      </w:r>
    </w:p>
    <w:p>
      <w:pPr>
        <w:spacing w:before="0" w:after="0" w:line="408" w:lineRule="exact"/>
        <w:ind w:left="0" w:right="0" w:firstLine="576"/>
        <w:jc w:val="left"/>
      </w:pPr>
      <w:r>
        <w:rPr/>
        <w:t xml:space="preserve">(7) Staff support for the task force shall be provided by the senate committee services and the house office of program research.</w:t>
      </w:r>
    </w:p>
    <w:p>
      <w:pPr>
        <w:spacing w:before="0" w:after="0" w:line="408" w:lineRule="exact"/>
        <w:ind w:left="0" w:right="0" w:firstLine="576"/>
        <w:jc w:val="left"/>
      </w:pPr>
      <w:r>
        <w:rPr/>
        <w:t xml:space="preserve">(8)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(10) This section expires December 31, 2016.</w:t>
      </w:r>
    </w:p>
    <w:p/>
    <w:p>
      <w:pPr>
        <w:jc w:val="center"/>
      </w:pPr>
      <w:r>
        <w:rPr>
          <w:b/>
        </w:rPr>
        <w:t>--- END ---</w:t>
      </w:r>
    </w:p>
    <w:sectPr>
      <w:pgNumType w:start="1"/>
      <w:footerReference xmlns:r="http://schemas.openxmlformats.org/officeDocument/2006/relationships" r:id="R467013b577d04b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47cb8bc23d42b9" /><Relationship Type="http://schemas.openxmlformats.org/officeDocument/2006/relationships/footer" Target="/word/footer.xml" Id="R467013b577d04bc3" /></Relationships>
</file>