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a233d281d74653" /></Relationships>
</file>

<file path=word/document.xml><?xml version="1.0" encoding="utf-8"?>
<w:document xmlns:w="http://schemas.openxmlformats.org/wordprocessingml/2006/main">
  <w:body>
    <w:p>
      <w:r>
        <w:t>H-3549.1</w:t>
      </w:r>
    </w:p>
    <w:p>
      <w:pPr>
        <w:jc w:val="center"/>
      </w:pPr>
      <w:r>
        <w:t>_______________________________________________</w:t>
      </w:r>
    </w:p>
    <w:p/>
    <w:p>
      <w:pPr>
        <w:jc w:val="center"/>
      </w:pPr>
      <w:r>
        <w:rPr>
          <w:b/>
        </w:rPr>
        <w:t>HOUSE BILL 2901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Vick</w:t>
      </w:r>
    </w:p>
    <w:p/>
    <w:p>
      <w:r>
        <w:rPr>
          <w:t xml:space="preserve">Read first time 01/26/16.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actual utility costs of a landlord under the manufactured/mobile home landlord-tenant act; amending RCW 59.20.070;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r>
        <w:rPr>
          <w:u w:val="single"/>
        </w:rPr>
        <w:t xml:space="preserve">. For purposes of this subsection, a landlord's actual utility costs include all expenses incurred by the landlord to provide the utility to the tenant, including repair, replacement, maintenance, and administrative expenses</w:t>
      </w:r>
      <w:r>
        <w:rPr/>
        <w:t xml:space="preserve">;</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and curative in nature and applies retroactively.</w:t>
      </w:r>
    </w:p>
    <w:p/>
    <w:p>
      <w:pPr>
        <w:jc w:val="center"/>
      </w:pPr>
      <w:r>
        <w:rPr>
          <w:b/>
        </w:rPr>
        <w:t>--- END ---</w:t>
      </w:r>
    </w:p>
    <w:sectPr>
      <w:pgNumType w:start="1"/>
      <w:footerReference xmlns:r="http://schemas.openxmlformats.org/officeDocument/2006/relationships" r:id="Rdc41b8e495e542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b76df837df4e0a" /><Relationship Type="http://schemas.openxmlformats.org/officeDocument/2006/relationships/footer" Target="/word/footer.xml" Id="Rdc41b8e495e54256" /></Relationships>
</file>