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726d8ca3b4ca9" /></Relationships>
</file>

<file path=word/document.xml><?xml version="1.0" encoding="utf-8"?>
<w:document xmlns:w="http://schemas.openxmlformats.org/wordprocessingml/2006/main">
  <w:body>
    <w:p>
      <w:r>
        <w:t>H-3855.1</w:t>
      </w:r>
    </w:p>
    <w:p>
      <w:pPr>
        <w:jc w:val="center"/>
      </w:pPr>
      <w:r>
        <w:t>_______________________________________________</w:t>
      </w:r>
    </w:p>
    <w:p/>
    <w:p>
      <w:pPr>
        <w:jc w:val="center"/>
      </w:pPr>
      <w:r>
        <w:rPr>
          <w:b/>
        </w:rPr>
        <w:t>HOUSE BILL 2878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Robinson, Muri, and Ormsby</w:t>
      </w:r>
    </w:p>
    <w:p/>
    <w:p>
      <w:r>
        <w:rPr>
          <w:t xml:space="preserve">Read first time 01/25/16.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penalty assessment for crimes involving the abuse of children used to support child advocacy centers; adding a new section to chapter 9A.44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thousand dollars on any adult offender convicted of a crime involving the physical abuse or sexual abuse of children.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must be used solely for the purposes of establishing and funding children's advocacy centers. If the city or county does not have a children's advocacy center, cities and counties may use the revenue collected from the assessment to contract with recognized community-based children's advocacy program providers.</w:t>
      </w:r>
    </w:p>
    <w:p>
      <w:pPr>
        <w:spacing w:before="0" w:after="0" w:line="408" w:lineRule="exact"/>
        <w:ind w:left="0" w:right="0" w:firstLine="576"/>
        <w:jc w:val="left"/>
      </w:pPr>
      <w:r>
        <w:rPr/>
        <w:t xml:space="preserve">(3) The assessment imposed under this section is not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(b) "Children's advocacy center" has the same meaning as that term is defined under RCW 26.44.020.</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of the victim in assessing the ability of the convicted offender to pay the penalty, including information regarding current financial obligations, family circumstances, and ongoing restitution.</w:t>
      </w:r>
    </w:p>
    <w:p/>
    <w:p>
      <w:pPr>
        <w:jc w:val="center"/>
      </w:pPr>
      <w:r>
        <w:rPr>
          <w:b/>
        </w:rPr>
        <w:t>--- END ---</w:t>
      </w:r>
    </w:p>
    <w:sectPr>
      <w:pgNumType w:start="1"/>
      <w:footerReference xmlns:r="http://schemas.openxmlformats.org/officeDocument/2006/relationships" r:id="R536779a5ff744d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aac819b9f43f5" /><Relationship Type="http://schemas.openxmlformats.org/officeDocument/2006/relationships/footer" Target="/word/footer.xml" Id="R536779a5ff744d33" /></Relationships>
</file>